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A5F62F" w14:textId="0FE7167D" w:rsidR="00645D60" w:rsidRPr="000E4356" w:rsidRDefault="00645D60" w:rsidP="00645D60">
      <w:pPr>
        <w:tabs>
          <w:tab w:val="center" w:pos="4536"/>
          <w:tab w:val="right" w:pos="7938"/>
          <w:tab w:val="right" w:pos="9639"/>
        </w:tabs>
        <w:ind w:right="2"/>
        <w:rPr>
          <w:b/>
          <w:bCs/>
          <w:sz w:val="28"/>
        </w:rPr>
      </w:pPr>
      <w:r w:rsidRPr="000E4356">
        <w:rPr>
          <w:b/>
          <w:bCs/>
          <w:sz w:val="28"/>
        </w:rPr>
        <w:t>3GPP TSG RAN WG1 #11</w:t>
      </w:r>
      <w:r>
        <w:rPr>
          <w:b/>
          <w:bCs/>
          <w:sz w:val="28"/>
        </w:rPr>
        <w:t>8bis</w:t>
      </w:r>
      <w:r w:rsidRPr="000E4356">
        <w:rPr>
          <w:b/>
          <w:bCs/>
          <w:sz w:val="28"/>
        </w:rPr>
        <w:tab/>
      </w:r>
      <w:r w:rsidRPr="000E4356">
        <w:rPr>
          <w:b/>
          <w:bCs/>
          <w:sz w:val="28"/>
        </w:rPr>
        <w:tab/>
      </w:r>
      <w:r w:rsidRPr="000E4356">
        <w:rPr>
          <w:b/>
          <w:bCs/>
          <w:sz w:val="28"/>
        </w:rPr>
        <w:tab/>
      </w:r>
      <w:r w:rsidRPr="00197DE9">
        <w:rPr>
          <w:b/>
          <w:bCs/>
          <w:sz w:val="28"/>
        </w:rPr>
        <w:t>R1-240</w:t>
      </w:r>
      <w:r w:rsidR="00197DE9" w:rsidRPr="00197DE9">
        <w:rPr>
          <w:b/>
          <w:bCs/>
          <w:sz w:val="28"/>
        </w:rPr>
        <w:t>8485</w:t>
      </w:r>
    </w:p>
    <w:p w14:paraId="76E23FC3" w14:textId="77777777" w:rsidR="00645D60" w:rsidRPr="00AC2618" w:rsidRDefault="00645D60" w:rsidP="00645D60">
      <w:pPr>
        <w:pStyle w:val="3GPPHeader"/>
        <w:rPr>
          <w:rFonts w:eastAsia="MS Mincho"/>
          <w:bCs/>
          <w:sz w:val="28"/>
          <w:lang w:val="en-GB" w:eastAsia="ja-JP"/>
        </w:rPr>
      </w:pPr>
      <w:r>
        <w:rPr>
          <w:rFonts w:eastAsia="MS Mincho"/>
          <w:bCs/>
          <w:sz w:val="28"/>
          <w:lang w:eastAsia="ja-JP"/>
        </w:rPr>
        <w:t>Hefei</w:t>
      </w:r>
      <w:r w:rsidRPr="006F3E21">
        <w:rPr>
          <w:rFonts w:eastAsia="MS Mincho"/>
          <w:bCs/>
          <w:sz w:val="28"/>
          <w:lang w:eastAsia="ja-JP"/>
        </w:rPr>
        <w:t xml:space="preserve">, </w:t>
      </w:r>
      <w:r>
        <w:rPr>
          <w:rFonts w:eastAsia="MS Mincho"/>
          <w:bCs/>
          <w:sz w:val="28"/>
          <w:lang w:eastAsia="ja-JP"/>
        </w:rPr>
        <w:t>China,</w:t>
      </w:r>
      <w:r w:rsidRPr="00AC2618">
        <w:rPr>
          <w:rFonts w:eastAsia="MS Mincho"/>
          <w:bCs/>
          <w:sz w:val="28"/>
          <w:lang w:val="en-GB" w:eastAsia="ja-JP"/>
        </w:rPr>
        <w:t xml:space="preserve"> </w:t>
      </w:r>
      <w:r>
        <w:rPr>
          <w:rFonts w:eastAsia="MS Mincho"/>
          <w:bCs/>
          <w:sz w:val="28"/>
          <w:lang w:val="en-GB" w:eastAsia="ja-JP"/>
        </w:rPr>
        <w:t>October</w:t>
      </w:r>
      <w:r w:rsidRPr="00AC2618">
        <w:rPr>
          <w:rFonts w:eastAsia="MS Mincho"/>
          <w:bCs/>
          <w:sz w:val="28"/>
          <w:lang w:val="en-GB" w:eastAsia="ja-JP"/>
        </w:rPr>
        <w:t xml:space="preserve"> </w:t>
      </w:r>
      <w:r>
        <w:rPr>
          <w:rFonts w:eastAsia="MS Mincho"/>
          <w:bCs/>
          <w:sz w:val="28"/>
          <w:lang w:val="en-GB" w:eastAsia="ja-JP"/>
        </w:rPr>
        <w:t>14</w:t>
      </w:r>
      <w:r w:rsidRPr="00AC2618">
        <w:rPr>
          <w:rFonts w:eastAsia="MS Mincho" w:hint="eastAsia"/>
          <w:bCs/>
          <w:sz w:val="28"/>
          <w:vertAlign w:val="superscript"/>
          <w:lang w:val="en-GB" w:eastAsia="ja-JP"/>
        </w:rPr>
        <w:t>th</w:t>
      </w:r>
      <w:r w:rsidRPr="00AC2618">
        <w:rPr>
          <w:rFonts w:eastAsia="MS Mincho"/>
          <w:bCs/>
          <w:sz w:val="28"/>
          <w:lang w:val="en-GB" w:eastAsia="ja-JP"/>
        </w:rPr>
        <w:t xml:space="preserve"> – </w:t>
      </w:r>
      <w:r>
        <w:rPr>
          <w:rFonts w:eastAsia="MS Mincho"/>
          <w:bCs/>
          <w:sz w:val="28"/>
          <w:lang w:val="en-GB" w:eastAsia="ja-JP"/>
        </w:rPr>
        <w:t>18</w:t>
      </w:r>
      <w:r w:rsidRPr="00866046">
        <w:rPr>
          <w:rFonts w:eastAsia="MS Mincho"/>
          <w:bCs/>
          <w:sz w:val="28"/>
          <w:vertAlign w:val="superscript"/>
          <w:lang w:val="en-GB" w:eastAsia="ja-JP"/>
        </w:rPr>
        <w:t>th</w:t>
      </w:r>
      <w:r w:rsidRPr="00AC2618">
        <w:rPr>
          <w:rFonts w:eastAsia="MS Mincho"/>
          <w:bCs/>
          <w:sz w:val="28"/>
          <w:lang w:val="en-GB" w:eastAsia="ja-JP"/>
        </w:rPr>
        <w:t>, 2024</w:t>
      </w:r>
    </w:p>
    <w:p w14:paraId="1ED9FE78" w14:textId="7E4ADA00" w:rsidR="00210D4C" w:rsidRPr="002D2038" w:rsidRDefault="00C519C4" w:rsidP="00311702">
      <w:pPr>
        <w:pStyle w:val="3GPPHeader"/>
        <w:rPr>
          <w:rFonts w:eastAsia="MS Mincho"/>
          <w:bCs/>
          <w:sz w:val="28"/>
          <w:lang w:val="en-GB" w:eastAsia="ja-JP"/>
        </w:rPr>
      </w:pPr>
      <w:r>
        <w:t xml:space="preserve"> </w:t>
      </w:r>
    </w:p>
    <w:p w14:paraId="5FB7E722" w14:textId="19992502" w:rsidR="00E90E49" w:rsidRPr="00CE30E7" w:rsidRDefault="00E90E49" w:rsidP="00311702">
      <w:pPr>
        <w:pStyle w:val="3GPPHeader"/>
      </w:pPr>
      <w:r w:rsidRPr="00CE30E7">
        <w:t>Agenda Item:</w:t>
      </w:r>
      <w:r w:rsidRPr="00CE30E7">
        <w:tab/>
      </w:r>
      <w:r w:rsidR="002D2038" w:rsidRPr="00385C75">
        <w:t>9</w:t>
      </w:r>
      <w:r w:rsidR="00FA72BF" w:rsidRPr="00385C75">
        <w:t>.</w:t>
      </w:r>
      <w:r w:rsidR="005C0B47" w:rsidRPr="00385C75">
        <w:t>8</w:t>
      </w:r>
      <w:r w:rsidR="002D2038" w:rsidRPr="00385C75">
        <w:t>.</w:t>
      </w:r>
      <w:r w:rsidR="00457D24" w:rsidRPr="00385C75">
        <w:t>2</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70F069ED" w:rsidR="00531215" w:rsidRPr="00CE30E7" w:rsidRDefault="003D3C45" w:rsidP="00311702">
      <w:pPr>
        <w:pStyle w:val="3GPPHeader"/>
      </w:pPr>
      <w:r w:rsidRPr="00CE30E7">
        <w:t>Title:</w:t>
      </w:r>
      <w:r w:rsidR="00E90E49" w:rsidRPr="00CE30E7">
        <w:tab/>
      </w:r>
      <w:r w:rsidR="006F3E21">
        <w:t xml:space="preserve">On </w:t>
      </w:r>
      <w:r w:rsidR="005C0B47">
        <w:t xml:space="preserve">Channel Model </w:t>
      </w:r>
      <w:r w:rsidR="00457D24">
        <w:t>Adaptation</w:t>
      </w:r>
      <w:r w:rsidR="002D4350">
        <w:t xml:space="preserve"> and </w:t>
      </w:r>
      <w:r w:rsidR="00457D24">
        <w:t>Extension</w:t>
      </w:r>
      <w:r w:rsidR="005C0B47">
        <w:t xml:space="preserve"> of TR 38.901 for 7-24 GHz</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42515957" w14:textId="1B70810F" w:rsidR="00E00129" w:rsidRDefault="00E90E49" w:rsidP="004D113B">
      <w:pPr>
        <w:pStyle w:val="Heading1"/>
        <w:jc w:val="both"/>
      </w:pPr>
      <w:r w:rsidRPr="00A6576F">
        <w:t>Introduction</w:t>
      </w:r>
    </w:p>
    <w:p w14:paraId="2172E63E" w14:textId="616F2799" w:rsidR="002D4350" w:rsidRDefault="00E00129" w:rsidP="002D4350">
      <w:pPr>
        <w:jc w:val="both"/>
      </w:pPr>
      <w:r>
        <w:t>In RAN #1</w:t>
      </w:r>
      <w:r w:rsidR="002D2038">
        <w:t>02</w:t>
      </w:r>
      <w:r>
        <w:t xml:space="preserve"> meeting</w:t>
      </w:r>
      <w:r w:rsidR="00385112">
        <w:t xml:space="preserve">, </w:t>
      </w:r>
      <w:r w:rsidR="002D2038">
        <w:t xml:space="preserve">the </w:t>
      </w:r>
      <w:r w:rsidR="005C0B47">
        <w:t>S</w:t>
      </w:r>
      <w:r w:rsidR="002D2038">
        <w:t>ID of Release 19</w:t>
      </w:r>
      <w:r w:rsidR="005C0B47">
        <w:t xml:space="preserve"> NR channel modelling enhancements for 7-24 GHz </w:t>
      </w:r>
      <w:r w:rsidR="002D2038">
        <w:t xml:space="preserve">was agreed </w:t>
      </w:r>
      <w:r w:rsidR="002D2038">
        <w:fldChar w:fldCharType="begin"/>
      </w:r>
      <w:r w:rsidR="002D2038">
        <w:instrText xml:space="preserve"> REF _Ref146048113 \r \h </w:instrText>
      </w:r>
      <w:r w:rsidR="002D2038">
        <w:fldChar w:fldCharType="separate"/>
      </w:r>
      <w:r w:rsidR="00645D60">
        <w:t>[1]</w:t>
      </w:r>
      <w:r w:rsidR="002D2038">
        <w:fldChar w:fldCharType="end"/>
      </w:r>
      <w:r w:rsidR="002D2038">
        <w:t xml:space="preserve">. One objective of the </w:t>
      </w:r>
      <w:r w:rsidR="005C0B47">
        <w:t>S</w:t>
      </w:r>
      <w:r w:rsidR="002D2038">
        <w:t xml:space="preserve">ID is </w:t>
      </w:r>
      <w:r w:rsidR="00457D24">
        <w:t xml:space="preserve">adapting/extending </w:t>
      </w:r>
      <w:r w:rsidR="005C0B47">
        <w:t>the channel model of TR 38.901 at least for 7-24 GHz</w:t>
      </w:r>
      <w:r w:rsidR="002D2038">
        <w:t xml:space="preserve">. </w:t>
      </w:r>
      <w:r w:rsidR="002D4350">
        <w:t>In RAN1 #11</w:t>
      </w:r>
      <w:r w:rsidR="00645D60">
        <w:t>8</w:t>
      </w:r>
      <w:r w:rsidR="002D4350">
        <w:t xml:space="preserve"> meeting </w:t>
      </w:r>
      <w:r w:rsidR="002D4350">
        <w:fldChar w:fldCharType="begin"/>
      </w:r>
      <w:r w:rsidR="002D4350">
        <w:instrText xml:space="preserve"> REF _Ref146638431 \r \h </w:instrText>
      </w:r>
      <w:r w:rsidR="002D4350">
        <w:fldChar w:fldCharType="separate"/>
      </w:r>
      <w:r w:rsidR="00645D60">
        <w:t>[2]</w:t>
      </w:r>
      <w:r w:rsidR="002D4350">
        <w:fldChar w:fldCharType="end"/>
      </w:r>
      <w:r w:rsidR="002D4350">
        <w:t>, the following agreements</w:t>
      </w:r>
      <w:r w:rsidR="00541188">
        <w:t xml:space="preserve"> </w:t>
      </w:r>
      <w:r w:rsidR="002D4350">
        <w:t>were made.</w:t>
      </w:r>
    </w:p>
    <w:p w14:paraId="7364F9C2" w14:textId="77777777" w:rsidR="00C151AD" w:rsidRPr="002D4350" w:rsidRDefault="00C151AD" w:rsidP="002D4350">
      <w:pPr>
        <w:jc w:val="both"/>
      </w:pPr>
    </w:p>
    <w:p w14:paraId="64757971" w14:textId="77777777" w:rsidR="00645D60" w:rsidRPr="00645D60" w:rsidRDefault="00645D60" w:rsidP="00645D60">
      <w:pPr>
        <w:jc w:val="both"/>
        <w:rPr>
          <w:rFonts w:eastAsia="DengXian"/>
          <w:highlight w:val="green"/>
        </w:rPr>
      </w:pPr>
      <w:r w:rsidRPr="00645D60">
        <w:rPr>
          <w:rFonts w:eastAsia="DengXian"/>
          <w:highlight w:val="green"/>
        </w:rPr>
        <w:t>Agreement</w:t>
      </w:r>
    </w:p>
    <w:p w14:paraId="09C0D9C4" w14:textId="77777777" w:rsidR="00645D60" w:rsidRPr="00645D60" w:rsidRDefault="00645D60" w:rsidP="00645D60">
      <w:pPr>
        <w:jc w:val="both"/>
        <w:rPr>
          <w:rFonts w:eastAsia="SimSun"/>
        </w:rPr>
      </w:pPr>
      <w:r w:rsidRPr="00645D60">
        <w:rPr>
          <w:rFonts w:eastAsia="SimSun"/>
        </w:rPr>
        <w:t xml:space="preserve">Previous agreement made in RAN1#117 is updated as: </w:t>
      </w:r>
    </w:p>
    <w:p w14:paraId="466EF564" w14:textId="77777777" w:rsidR="00645D60" w:rsidRPr="00645D60" w:rsidRDefault="00645D60" w:rsidP="00645D60">
      <w:pPr>
        <w:jc w:val="both"/>
      </w:pPr>
      <w:r w:rsidRPr="00645D60">
        <w:t xml:space="preserve">For the assumption on </w:t>
      </w:r>
      <w:r w:rsidRPr="00645D60">
        <w:rPr>
          <w:rFonts w:eastAsia="DengXian"/>
        </w:rPr>
        <w:t xml:space="preserve">the </w:t>
      </w:r>
      <w:r w:rsidRPr="00645D60">
        <w:t>aperture size of antenna array, the following is considered for near-field and spatial non-stationarity channel model study, e.g., simulation/measurement and calibration:</w:t>
      </w:r>
    </w:p>
    <w:p w14:paraId="29C8D838" w14:textId="77777777" w:rsidR="00645D60" w:rsidRPr="00645D60" w:rsidRDefault="00645D60" w:rsidP="00645D60">
      <w:pPr>
        <w:widowControl w:val="0"/>
        <w:numPr>
          <w:ilvl w:val="0"/>
          <w:numId w:val="47"/>
        </w:numPr>
        <w:tabs>
          <w:tab w:val="left" w:pos="284"/>
          <w:tab w:val="left" w:pos="1440"/>
          <w:tab w:val="left" w:pos="2160"/>
        </w:tabs>
        <w:snapToGrid w:val="0"/>
        <w:ind w:left="284" w:hanging="284"/>
        <w:jc w:val="both"/>
      </w:pPr>
      <w:r w:rsidRPr="00645D60">
        <w:rPr>
          <w:rFonts w:eastAsia="SimSun"/>
        </w:rPr>
        <w:t xml:space="preserve">Up to 1.5 m </w:t>
      </w:r>
      <w:r w:rsidRPr="00645D60">
        <w:t>for UMa with maximum antenna elements in the array is 5k for single Polarization.</w:t>
      </w:r>
    </w:p>
    <w:p w14:paraId="191B9C7C" w14:textId="77777777" w:rsidR="00645D60" w:rsidRPr="00645D60" w:rsidRDefault="00645D60" w:rsidP="00645D60">
      <w:pPr>
        <w:widowControl w:val="0"/>
        <w:numPr>
          <w:ilvl w:val="0"/>
          <w:numId w:val="47"/>
        </w:numPr>
        <w:tabs>
          <w:tab w:val="left" w:pos="284"/>
          <w:tab w:val="left" w:pos="1440"/>
          <w:tab w:val="left" w:pos="2160"/>
        </w:tabs>
        <w:snapToGrid w:val="0"/>
        <w:ind w:left="284" w:hanging="284"/>
        <w:jc w:val="both"/>
      </w:pPr>
      <w:r w:rsidRPr="00645D60">
        <w:rPr>
          <w:rFonts w:eastAsia="SimSun"/>
        </w:rPr>
        <w:t xml:space="preserve">Up to 1 m </w:t>
      </w:r>
      <w:r w:rsidRPr="00645D60">
        <w:t>for UMi</w:t>
      </w:r>
      <w:r w:rsidRPr="00645D60">
        <w:rPr>
          <w:rFonts w:eastAsia="SimSun"/>
        </w:rPr>
        <w:t xml:space="preserve"> </w:t>
      </w:r>
      <w:r w:rsidRPr="00645D60">
        <w:t>with maximum antenna elements in the array is 2.</w:t>
      </w:r>
      <w:r w:rsidRPr="00645D60">
        <w:rPr>
          <w:rFonts w:eastAsia="DengXian"/>
        </w:rPr>
        <w:t>22</w:t>
      </w:r>
      <w:r w:rsidRPr="00645D60">
        <w:t>k for single Polarization.</w:t>
      </w:r>
    </w:p>
    <w:p w14:paraId="534F071B" w14:textId="77777777" w:rsidR="00645D60" w:rsidRPr="00645D60" w:rsidRDefault="00645D60" w:rsidP="00645D60">
      <w:pPr>
        <w:widowControl w:val="0"/>
        <w:numPr>
          <w:ilvl w:val="0"/>
          <w:numId w:val="47"/>
        </w:numPr>
        <w:tabs>
          <w:tab w:val="left" w:pos="284"/>
          <w:tab w:val="left" w:pos="1440"/>
          <w:tab w:val="left" w:pos="2160"/>
        </w:tabs>
        <w:snapToGrid w:val="0"/>
        <w:ind w:left="284" w:hanging="284"/>
        <w:jc w:val="both"/>
      </w:pPr>
      <w:r w:rsidRPr="00645D60">
        <w:rPr>
          <w:rFonts w:eastAsia="SimSun"/>
        </w:rPr>
        <w:t xml:space="preserve">Up to 0.71 m </w:t>
      </w:r>
      <w:r w:rsidRPr="00645D60">
        <w:t>for Indoor facto</w:t>
      </w:r>
      <w:r w:rsidRPr="00645D60">
        <w:rPr>
          <w:rFonts w:eastAsia="DengXian"/>
        </w:rPr>
        <w:t>ry</w:t>
      </w:r>
      <w:r w:rsidRPr="00645D60">
        <w:rPr>
          <w:rFonts w:eastAsia="SimSun"/>
        </w:rPr>
        <w:t xml:space="preserve"> </w:t>
      </w:r>
      <w:r w:rsidRPr="00645D60">
        <w:t xml:space="preserve">with maximum antenna elements in the array is </w:t>
      </w:r>
      <w:r w:rsidRPr="00645D60">
        <w:rPr>
          <w:rFonts w:eastAsia="DengXian"/>
        </w:rPr>
        <w:t>1.</w:t>
      </w:r>
      <w:r w:rsidRPr="00645D60">
        <w:t>12k for single Polarization.</w:t>
      </w:r>
    </w:p>
    <w:p w14:paraId="6B8A0CF8" w14:textId="327F1766" w:rsidR="00645D60" w:rsidRPr="00645D60" w:rsidRDefault="00645D60" w:rsidP="00645D60">
      <w:pPr>
        <w:widowControl w:val="0"/>
        <w:numPr>
          <w:ilvl w:val="0"/>
          <w:numId w:val="47"/>
        </w:numPr>
        <w:tabs>
          <w:tab w:val="left" w:pos="284"/>
          <w:tab w:val="left" w:pos="1440"/>
          <w:tab w:val="left" w:pos="2160"/>
        </w:tabs>
        <w:snapToGrid w:val="0"/>
        <w:ind w:left="284" w:hanging="284"/>
        <w:jc w:val="both"/>
      </w:pPr>
      <w:r w:rsidRPr="00645D60">
        <w:rPr>
          <w:rFonts w:eastAsia="SimSun"/>
        </w:rPr>
        <w:t>Up to 0.25 (for rectangular antenna array), 0.5 (for linear antenna array) m</w:t>
      </w:r>
      <w:r w:rsidRPr="00645D60">
        <w:t xml:space="preserve"> for Indoor office with maximum antenna elements in the array is </w:t>
      </w:r>
      <w:r w:rsidRPr="00645D60">
        <w:rPr>
          <w:color w:val="FF0000"/>
        </w:rPr>
        <w:t xml:space="preserve">256, 80 </w:t>
      </w:r>
      <w:r w:rsidRPr="00645D60">
        <w:t>for single Polarization, respectively.</w:t>
      </w:r>
    </w:p>
    <w:p w14:paraId="2A206481" w14:textId="77777777" w:rsidR="00645D60" w:rsidRPr="00645D60" w:rsidRDefault="00645D60" w:rsidP="00645D60">
      <w:pPr>
        <w:jc w:val="both"/>
        <w:rPr>
          <w:rFonts w:eastAsia="DengXian"/>
        </w:rPr>
      </w:pPr>
    </w:p>
    <w:p w14:paraId="37BC7D9C" w14:textId="77777777" w:rsidR="00645D60" w:rsidRPr="00645D60" w:rsidRDefault="00645D60" w:rsidP="00645D60">
      <w:pPr>
        <w:jc w:val="both"/>
        <w:rPr>
          <w:rFonts w:eastAsia="DengXian"/>
          <w:highlight w:val="green"/>
        </w:rPr>
      </w:pPr>
      <w:r w:rsidRPr="00645D60">
        <w:rPr>
          <w:rFonts w:eastAsia="DengXian"/>
          <w:highlight w:val="green"/>
        </w:rPr>
        <w:t>Agreement</w:t>
      </w:r>
    </w:p>
    <w:p w14:paraId="552B8DDB" w14:textId="77777777" w:rsidR="00645D60" w:rsidRPr="00645D60" w:rsidRDefault="00645D60" w:rsidP="00645D60">
      <w:pPr>
        <w:jc w:val="both"/>
        <w:rPr>
          <w:rFonts w:eastAsia="DengXian"/>
        </w:rPr>
      </w:pPr>
      <w:r w:rsidRPr="00645D60">
        <w:rPr>
          <w:rFonts w:eastAsia="DengXian"/>
        </w:rPr>
        <w:t>Confirm the following working assumption made in RAN1#117.</w:t>
      </w:r>
    </w:p>
    <w:p w14:paraId="02EDEFA4" w14:textId="77777777" w:rsidR="00645D60" w:rsidRPr="00645D60" w:rsidRDefault="00645D60" w:rsidP="00645D60">
      <w:pPr>
        <w:jc w:val="both"/>
        <w:rPr>
          <w:rFonts w:eastAsia="DengXian"/>
          <w:highlight w:val="darkYellow"/>
        </w:rPr>
      </w:pPr>
      <w:r w:rsidRPr="00645D60">
        <w:rPr>
          <w:rFonts w:eastAsia="DengXian"/>
          <w:highlight w:val="darkYellow"/>
        </w:rPr>
        <w:t>Working Assumption</w:t>
      </w:r>
    </w:p>
    <w:p w14:paraId="7D0F1B53" w14:textId="77777777" w:rsidR="00645D60" w:rsidRPr="00645D60" w:rsidRDefault="00645D60" w:rsidP="00645D60">
      <w:pPr>
        <w:jc w:val="both"/>
      </w:pPr>
      <w:r w:rsidRPr="00645D60">
        <w:t>For the near-field channel modeling, no changes are expected on both value and parameter generation procedure of at least following large-scale parameters in existing TR 38.901:</w:t>
      </w:r>
    </w:p>
    <w:p w14:paraId="47983A90" w14:textId="77777777" w:rsidR="00645D60" w:rsidRPr="00645D60" w:rsidRDefault="00645D60" w:rsidP="00645D60">
      <w:pPr>
        <w:numPr>
          <w:ilvl w:val="0"/>
          <w:numId w:val="48"/>
        </w:numPr>
        <w:tabs>
          <w:tab w:val="left" w:pos="1304"/>
          <w:tab w:val="left" w:pos="1440"/>
          <w:tab w:val="left" w:pos="2160"/>
        </w:tabs>
        <w:snapToGrid w:val="0"/>
        <w:jc w:val="both"/>
      </w:pPr>
      <w:r w:rsidRPr="00645D60">
        <w:t>Pathloss model, SF, LOS probability</w:t>
      </w:r>
    </w:p>
    <w:p w14:paraId="360B7703" w14:textId="77777777" w:rsidR="00645D60" w:rsidRPr="00645D60" w:rsidRDefault="00645D60" w:rsidP="00645D60">
      <w:pPr>
        <w:numPr>
          <w:ilvl w:val="0"/>
          <w:numId w:val="48"/>
        </w:numPr>
        <w:tabs>
          <w:tab w:val="left" w:pos="1304"/>
          <w:tab w:val="left" w:pos="1440"/>
          <w:tab w:val="left" w:pos="2160"/>
        </w:tabs>
        <w:snapToGrid w:val="0"/>
        <w:jc w:val="both"/>
      </w:pPr>
      <w:r w:rsidRPr="00645D60">
        <w:t>FFS:DS, ASA, ASD, ZSA, ZSD, K factor</w:t>
      </w:r>
    </w:p>
    <w:p w14:paraId="70E1799D" w14:textId="77777777" w:rsidR="00645D60" w:rsidRPr="00645D60" w:rsidRDefault="00645D60" w:rsidP="00645D60">
      <w:pPr>
        <w:jc w:val="both"/>
        <w:rPr>
          <w:rFonts w:eastAsia="DengXian"/>
        </w:rPr>
      </w:pPr>
    </w:p>
    <w:p w14:paraId="15037FD6" w14:textId="77777777" w:rsidR="00645D60" w:rsidRPr="00645D60" w:rsidRDefault="00645D60" w:rsidP="00645D60">
      <w:pPr>
        <w:jc w:val="both"/>
        <w:rPr>
          <w:rFonts w:eastAsia="DengXian"/>
          <w:highlight w:val="green"/>
        </w:rPr>
      </w:pPr>
      <w:r w:rsidRPr="00645D60">
        <w:rPr>
          <w:rFonts w:eastAsia="DengXian"/>
          <w:highlight w:val="green"/>
        </w:rPr>
        <w:t>Agreement</w:t>
      </w:r>
    </w:p>
    <w:p w14:paraId="424BFBB3" w14:textId="77777777" w:rsidR="00645D60" w:rsidRPr="00645D60" w:rsidRDefault="00645D60" w:rsidP="00645D60">
      <w:pPr>
        <w:jc w:val="both"/>
      </w:pPr>
      <w:r w:rsidRPr="00645D60">
        <w:t>For the near-field channel modeling, no changes are expected on both value and parameter generation procedure of at least following large-scale parameters in existing TR 38.901:</w:t>
      </w:r>
    </w:p>
    <w:p w14:paraId="7803DC63" w14:textId="77777777" w:rsidR="00645D60" w:rsidRPr="00645D60" w:rsidRDefault="00645D60" w:rsidP="00645D60">
      <w:pPr>
        <w:numPr>
          <w:ilvl w:val="0"/>
          <w:numId w:val="48"/>
        </w:numPr>
        <w:tabs>
          <w:tab w:val="left" w:pos="1304"/>
          <w:tab w:val="left" w:pos="1440"/>
          <w:tab w:val="left" w:pos="2160"/>
        </w:tabs>
        <w:snapToGrid w:val="0"/>
        <w:jc w:val="both"/>
      </w:pPr>
      <w:r w:rsidRPr="00645D60">
        <w:t>DS, ASA, ASD, ZSA, ZSD, K factor</w:t>
      </w:r>
    </w:p>
    <w:p w14:paraId="472AC46A" w14:textId="77777777" w:rsidR="00645D60" w:rsidRPr="00645D60" w:rsidRDefault="00645D60" w:rsidP="00645D60">
      <w:pPr>
        <w:jc w:val="both"/>
        <w:rPr>
          <w:rFonts w:eastAsia="DengXian"/>
        </w:rPr>
      </w:pPr>
    </w:p>
    <w:p w14:paraId="4EBDF97D" w14:textId="77777777" w:rsidR="00645D60" w:rsidRPr="00645D60" w:rsidRDefault="00645D60" w:rsidP="00645D60">
      <w:pPr>
        <w:jc w:val="both"/>
        <w:rPr>
          <w:rFonts w:eastAsia="DengXian"/>
          <w:highlight w:val="green"/>
        </w:rPr>
      </w:pPr>
      <w:r w:rsidRPr="00645D60">
        <w:rPr>
          <w:rFonts w:eastAsia="DengXian"/>
          <w:highlight w:val="green"/>
        </w:rPr>
        <w:t>Agreement</w:t>
      </w:r>
    </w:p>
    <w:p w14:paraId="69190839" w14:textId="77777777" w:rsidR="00645D60" w:rsidRPr="00645D60" w:rsidRDefault="00645D60" w:rsidP="00645D60">
      <w:pPr>
        <w:jc w:val="both"/>
        <w:rPr>
          <w:rFonts w:eastAsia="DengXian"/>
        </w:rPr>
      </w:pPr>
      <w:r w:rsidRPr="00645D60">
        <w:t>The spatial non-stationarity characteristics</w:t>
      </w:r>
      <w:r w:rsidRPr="00645D60">
        <w:rPr>
          <w:rFonts w:eastAsia="DengXian"/>
        </w:rPr>
        <w:t xml:space="preserve">, </w:t>
      </w:r>
      <w:r w:rsidRPr="00645D60">
        <w:t xml:space="preserve">i.e., the antenna element-wise power variation </w:t>
      </w:r>
      <w:r w:rsidRPr="00645D60">
        <w:rPr>
          <w:rFonts w:eastAsia="DengXian"/>
        </w:rPr>
        <w:t xml:space="preserve">at least at BS </w:t>
      </w:r>
      <w:r w:rsidRPr="00645D60">
        <w:t>side</w:t>
      </w:r>
      <w:r w:rsidRPr="00645D60">
        <w:rPr>
          <w:rFonts w:eastAsia="DengXian"/>
        </w:rPr>
        <w:t>,</w:t>
      </w:r>
      <w:r w:rsidRPr="00645D60">
        <w:t xml:space="preserve"> </w:t>
      </w:r>
      <w:r w:rsidRPr="00645D60">
        <w:rPr>
          <w:rFonts w:eastAsia="DengXian"/>
        </w:rPr>
        <w:t xml:space="preserve">is </w:t>
      </w:r>
      <w:r w:rsidRPr="00645D60">
        <w:t>supported in the channel modelling.</w:t>
      </w:r>
    </w:p>
    <w:p w14:paraId="005D6E6B" w14:textId="77777777" w:rsidR="00645D60" w:rsidRPr="00645D60" w:rsidRDefault="00645D60" w:rsidP="00645D60">
      <w:pPr>
        <w:jc w:val="both"/>
        <w:rPr>
          <w:rFonts w:eastAsia="DengXian"/>
        </w:rPr>
      </w:pPr>
      <w:r w:rsidRPr="00645D60">
        <w:rPr>
          <w:rFonts w:eastAsia="DengXian"/>
        </w:rPr>
        <w:t xml:space="preserve">FFS: </w:t>
      </w:r>
      <w:r w:rsidRPr="00645D60">
        <w:t xml:space="preserve">the antenna element-wise power variation at </w:t>
      </w:r>
      <w:r w:rsidRPr="00645D60">
        <w:rPr>
          <w:rFonts w:eastAsia="DengXian"/>
        </w:rPr>
        <w:t xml:space="preserve">UE </w:t>
      </w:r>
      <w:r w:rsidRPr="00645D60">
        <w:t>side</w:t>
      </w:r>
    </w:p>
    <w:p w14:paraId="1B61AE14" w14:textId="77777777" w:rsidR="00645D60" w:rsidRPr="00645D60" w:rsidRDefault="00645D60" w:rsidP="00645D60">
      <w:pPr>
        <w:jc w:val="both"/>
        <w:rPr>
          <w:rFonts w:eastAsia="DengXian"/>
        </w:rPr>
      </w:pPr>
      <w:r w:rsidRPr="00645D60">
        <w:rPr>
          <w:rFonts w:eastAsia="DengXian"/>
        </w:rPr>
        <w:t xml:space="preserve">FFS: the causes and details of methodology for modelling the </w:t>
      </w:r>
      <w:r w:rsidRPr="00645D60">
        <w:t>spatial non-stationarity characteristics</w:t>
      </w:r>
    </w:p>
    <w:p w14:paraId="0D5FF961" w14:textId="77777777" w:rsidR="00645D60" w:rsidRPr="00645D60" w:rsidRDefault="00645D60" w:rsidP="00645D60">
      <w:pPr>
        <w:jc w:val="both"/>
        <w:rPr>
          <w:rFonts w:eastAsia="DengXian"/>
        </w:rPr>
      </w:pPr>
    </w:p>
    <w:p w14:paraId="35EEC45F" w14:textId="77777777" w:rsidR="00645D60" w:rsidRPr="00645D60" w:rsidRDefault="00645D60" w:rsidP="00645D60">
      <w:pPr>
        <w:pStyle w:val="ListParagraph"/>
        <w:ind w:left="0"/>
        <w:jc w:val="both"/>
        <w:rPr>
          <w:rFonts w:ascii="Times New Roman" w:eastAsia="DengXian" w:hAnsi="Times New Roman"/>
          <w:sz w:val="24"/>
          <w:szCs w:val="24"/>
          <w:highlight w:val="green"/>
          <w:lang w:eastAsia="zh-CN"/>
        </w:rPr>
      </w:pPr>
      <w:r w:rsidRPr="00645D60">
        <w:rPr>
          <w:rFonts w:ascii="Times New Roman" w:eastAsia="DengXian" w:hAnsi="Times New Roman"/>
          <w:sz w:val="24"/>
          <w:szCs w:val="24"/>
          <w:highlight w:val="green"/>
          <w:lang w:eastAsia="zh-CN"/>
        </w:rPr>
        <w:t>Agreement</w:t>
      </w:r>
    </w:p>
    <w:p w14:paraId="23F04AF4" w14:textId="77777777" w:rsidR="00645D60" w:rsidRPr="00645D60" w:rsidRDefault="00645D60" w:rsidP="00645D60">
      <w:pPr>
        <w:pStyle w:val="ListParagraph"/>
        <w:ind w:left="0"/>
        <w:jc w:val="both"/>
        <w:rPr>
          <w:rFonts w:ascii="Times New Roman" w:eastAsia="DengXian" w:hAnsi="Times New Roman"/>
          <w:sz w:val="24"/>
          <w:szCs w:val="24"/>
        </w:rPr>
      </w:pPr>
      <w:r w:rsidRPr="00645D60">
        <w:rPr>
          <w:rFonts w:ascii="Times New Roman" w:eastAsia="DengXian" w:hAnsi="Times New Roman"/>
          <w:sz w:val="24"/>
          <w:szCs w:val="24"/>
        </w:rPr>
        <w:lastRenderedPageBreak/>
        <w:t>For near-field channel, no changes are expected on following parameters of the non-direct path between TRP and UE:</w:t>
      </w:r>
    </w:p>
    <w:p w14:paraId="54782F55" w14:textId="77777777" w:rsidR="00645D60" w:rsidRPr="00645D60" w:rsidRDefault="00645D60" w:rsidP="00645D60">
      <w:pPr>
        <w:pStyle w:val="ListParagraph"/>
        <w:widowControl w:val="0"/>
        <w:numPr>
          <w:ilvl w:val="0"/>
          <w:numId w:val="58"/>
        </w:numPr>
        <w:tabs>
          <w:tab w:val="left" w:pos="1304"/>
          <w:tab w:val="left" w:pos="1440"/>
          <w:tab w:val="left" w:pos="2160"/>
        </w:tabs>
        <w:snapToGrid w:val="0"/>
        <w:jc w:val="both"/>
        <w:rPr>
          <w:rFonts w:ascii="Times New Roman" w:hAnsi="Times New Roman"/>
          <w:sz w:val="24"/>
          <w:szCs w:val="24"/>
        </w:rPr>
      </w:pPr>
      <w:r w:rsidRPr="00645D60">
        <w:rPr>
          <w:rFonts w:ascii="Times New Roman" w:hAnsi="Times New Roman"/>
          <w:sz w:val="24"/>
          <w:szCs w:val="24"/>
        </w:rPr>
        <w:t>Polarization matrix</w:t>
      </w:r>
    </w:p>
    <w:p w14:paraId="21BCAEAA" w14:textId="77777777" w:rsidR="00645D60" w:rsidRPr="00645D60" w:rsidRDefault="00645D60" w:rsidP="00645D60">
      <w:pPr>
        <w:pStyle w:val="ListParagraph"/>
        <w:widowControl w:val="0"/>
        <w:numPr>
          <w:ilvl w:val="0"/>
          <w:numId w:val="58"/>
        </w:numPr>
        <w:tabs>
          <w:tab w:val="left" w:pos="1304"/>
          <w:tab w:val="left" w:pos="1440"/>
          <w:tab w:val="left" w:pos="2160"/>
        </w:tabs>
        <w:snapToGrid w:val="0"/>
        <w:jc w:val="both"/>
        <w:rPr>
          <w:rFonts w:ascii="Times New Roman" w:hAnsi="Times New Roman"/>
          <w:color w:val="FF0000"/>
          <w:sz w:val="24"/>
          <w:szCs w:val="24"/>
        </w:rPr>
      </w:pPr>
      <w:r w:rsidRPr="00645D60">
        <w:rPr>
          <w:rFonts w:ascii="Times New Roman" w:hAnsi="Times New Roman"/>
          <w:color w:val="FF0000"/>
          <w:sz w:val="24"/>
          <w:szCs w:val="24"/>
        </w:rPr>
        <w:t>FFS: Amplitude</w:t>
      </w:r>
    </w:p>
    <w:p w14:paraId="5E8580FB" w14:textId="77777777" w:rsidR="00645D60" w:rsidRPr="00645D60" w:rsidRDefault="00645D60" w:rsidP="00645D60">
      <w:pPr>
        <w:jc w:val="both"/>
        <w:rPr>
          <w:rFonts w:eastAsia="DengXian"/>
        </w:rPr>
      </w:pPr>
    </w:p>
    <w:p w14:paraId="42B1F320" w14:textId="77777777" w:rsidR="00645D60" w:rsidRPr="00645D60" w:rsidRDefault="00645D60" w:rsidP="00645D60">
      <w:pPr>
        <w:jc w:val="both"/>
        <w:rPr>
          <w:rFonts w:eastAsia="DengXian"/>
          <w:highlight w:val="green"/>
        </w:rPr>
      </w:pPr>
      <w:r w:rsidRPr="00645D60">
        <w:rPr>
          <w:rFonts w:eastAsia="DengXian"/>
          <w:highlight w:val="green"/>
        </w:rPr>
        <w:t>Agreement</w:t>
      </w:r>
    </w:p>
    <w:p w14:paraId="3FC8F994" w14:textId="77777777" w:rsidR="00645D60" w:rsidRPr="00645D60" w:rsidRDefault="00645D60" w:rsidP="00645D60">
      <w:pPr>
        <w:jc w:val="both"/>
      </w:pPr>
      <w:r w:rsidRPr="00645D60">
        <w:rPr>
          <w:rFonts w:eastAsia="DengXian"/>
        </w:rPr>
        <w:t xml:space="preserve">For near-field channel, the following formula is adopted to model the phase </w:t>
      </w:r>
      <w:r w:rsidRPr="00645D60">
        <w:t xml:space="preserve">of </w:t>
      </w:r>
      <w:r w:rsidRPr="00645D60">
        <w:rPr>
          <w:rFonts w:eastAsia="DengXian"/>
        </w:rPr>
        <w:t>direct path between TRP and UE as</w:t>
      </w:r>
      <w:r w:rsidRPr="00645D60">
        <w:t xml:space="preserve"> antenna element-wise channel parameter:</w:t>
      </w:r>
    </w:p>
    <w:p w14:paraId="1C1B6C46" w14:textId="77777777" w:rsidR="00645D60" w:rsidRPr="00645D60" w:rsidRDefault="00645D60" w:rsidP="00645D60">
      <w:pPr>
        <w:jc w:val="both"/>
      </w:pPr>
      <m:oMath>
        <m:r>
          <m:rPr>
            <m:sty m:val="p"/>
          </m:rPr>
          <w:rPr>
            <w:rFonts w:ascii="Cambria Math" w:hAnsi="Cambria Math"/>
            <w:color w:val="FF0000"/>
          </w:rPr>
          <m:t>exp⁡(-j2π</m:t>
        </m:r>
        <m:f>
          <m:fPr>
            <m:ctrlPr>
              <w:rPr>
                <w:rFonts w:ascii="Cambria Math" w:hAnsi="Cambria Math"/>
                <w:color w:val="FF0000"/>
              </w:rPr>
            </m:ctrlPr>
          </m:fPr>
          <m:num>
            <m:sSub>
              <m:sSubPr>
                <m:ctrlPr>
                  <w:rPr>
                    <w:rFonts w:ascii="Cambria Math" w:hAnsi="Cambria Math"/>
                    <w:i/>
                    <w:color w:val="FF0000"/>
                  </w:rPr>
                </m:ctrlPr>
              </m:sSubPr>
              <m:e>
                <m:r>
                  <w:rPr>
                    <w:rFonts w:ascii="Cambria Math" w:hAnsi="Cambria Math"/>
                    <w:color w:val="FF0000"/>
                  </w:rPr>
                  <m:t>d</m:t>
                </m:r>
              </m:e>
              <m:sub>
                <m:r>
                  <w:rPr>
                    <w:rFonts w:ascii="Cambria Math" w:hAnsi="Cambria Math"/>
                    <w:color w:val="FF0000"/>
                  </w:rPr>
                  <m:t>3D</m:t>
                </m:r>
              </m:sub>
            </m:sSub>
          </m:num>
          <m:den>
            <m:sSub>
              <m:sSubPr>
                <m:ctrlPr>
                  <w:rPr>
                    <w:rFonts w:ascii="Cambria Math" w:hAnsi="Cambria Math"/>
                    <w:color w:val="FF0000"/>
                  </w:rPr>
                </m:ctrlPr>
              </m:sSubPr>
              <m:e>
                <m:r>
                  <m:rPr>
                    <m:sty m:val="p"/>
                  </m:rPr>
                  <w:rPr>
                    <w:rFonts w:ascii="Cambria Math" w:hAnsi="Cambria Math"/>
                    <w:color w:val="FF0000"/>
                  </w:rPr>
                  <m:t>λ</m:t>
                </m:r>
              </m:e>
              <m:sub>
                <m:r>
                  <m:rPr>
                    <m:sty m:val="p"/>
                  </m:rPr>
                  <w:rPr>
                    <w:rFonts w:ascii="Cambria Math" w:hAnsi="Cambria Math"/>
                    <w:color w:val="FF0000"/>
                  </w:rPr>
                  <m:t>0</m:t>
                </m:r>
              </m:sub>
            </m:sSub>
          </m:den>
        </m:f>
        <m:r>
          <m:rPr>
            <m:sty m:val="p"/>
          </m:rPr>
          <w:rPr>
            <w:rFonts w:ascii="Cambria Math" w:hAnsi="Cambria Math"/>
            <w:color w:val="FF0000"/>
          </w:rPr>
          <m:t>)exp</m:t>
        </m:r>
        <m:d>
          <m:dPr>
            <m:ctrlPr>
              <w:rPr>
                <w:rFonts w:ascii="Cambria Math" w:hAnsi="Cambria Math"/>
                <w:color w:val="FF0000"/>
              </w:rPr>
            </m:ctrlPr>
          </m:dPr>
          <m:e>
            <m:r>
              <m:rPr>
                <m:sty m:val="p"/>
              </m:rPr>
              <w:rPr>
                <w:rFonts w:ascii="Cambria Math" w:hAnsi="Cambria Math"/>
                <w:color w:val="FF0000"/>
              </w:rPr>
              <m:t>-j2π</m:t>
            </m:r>
            <m:f>
              <m:fPr>
                <m:ctrlPr>
                  <w:rPr>
                    <w:rFonts w:ascii="Cambria Math" w:hAnsi="Cambria Math"/>
                    <w:color w:val="FF0000"/>
                  </w:rPr>
                </m:ctrlPr>
              </m:fPr>
              <m:num>
                <m:r>
                  <w:rPr>
                    <w:rFonts w:ascii="Cambria Math" w:hAnsi="Cambria Math"/>
                    <w:color w:val="FF0000"/>
                  </w:rPr>
                  <m:t>|</m:t>
                </m:r>
                <m:sSub>
                  <m:sSubPr>
                    <m:ctrlPr>
                      <w:rPr>
                        <w:rFonts w:ascii="Cambria Math" w:hAnsi="Cambria Math"/>
                        <w:color w:val="FF0000"/>
                      </w:rPr>
                    </m:ctrlPr>
                  </m:sSubPr>
                  <m:e>
                    <m:acc>
                      <m:accPr>
                        <m:chr m:val="⃗"/>
                        <m:ctrlPr>
                          <w:rPr>
                            <w:rFonts w:ascii="Cambria Math" w:hAnsi="Cambria Math"/>
                            <w:i/>
                            <w:color w:val="FF0000"/>
                          </w:rPr>
                        </m:ctrlPr>
                      </m:accPr>
                      <m:e>
                        <m:r>
                          <w:rPr>
                            <w:rFonts w:ascii="Cambria Math" w:hAnsi="Cambria Math"/>
                            <w:color w:val="FF0000"/>
                          </w:rPr>
                          <m:t>r</m:t>
                        </m:r>
                      </m:e>
                    </m:acc>
                  </m:e>
                  <m:sub>
                    <m:r>
                      <w:rPr>
                        <w:rFonts w:ascii="Cambria Math" w:hAnsi="Cambria Math"/>
                        <w:color w:val="FF0000"/>
                      </w:rPr>
                      <m:t>u,s</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d</m:t>
                    </m:r>
                  </m:e>
                  <m:sub>
                    <m:r>
                      <w:rPr>
                        <w:rFonts w:ascii="Cambria Math" w:hAnsi="Cambria Math"/>
                        <w:color w:val="FF0000"/>
                      </w:rPr>
                      <m:t>3D</m:t>
                    </m:r>
                  </m:sub>
                </m:sSub>
              </m:num>
              <m:den>
                <m:sSub>
                  <m:sSubPr>
                    <m:ctrlPr>
                      <w:rPr>
                        <w:rFonts w:ascii="Cambria Math" w:hAnsi="Cambria Math"/>
                        <w:color w:val="FF0000"/>
                      </w:rPr>
                    </m:ctrlPr>
                  </m:sSubPr>
                  <m:e>
                    <m:r>
                      <m:rPr>
                        <m:sty m:val="p"/>
                      </m:rPr>
                      <w:rPr>
                        <w:rFonts w:ascii="Cambria Math" w:hAnsi="Cambria Math"/>
                        <w:color w:val="FF0000"/>
                      </w:rPr>
                      <m:t>λ</m:t>
                    </m:r>
                  </m:e>
                  <m:sub>
                    <m:r>
                      <m:rPr>
                        <m:sty m:val="p"/>
                      </m:rPr>
                      <w:rPr>
                        <w:rFonts w:ascii="Cambria Math" w:hAnsi="Cambria Math"/>
                        <w:color w:val="FF0000"/>
                      </w:rPr>
                      <m:t>0</m:t>
                    </m:r>
                  </m:sub>
                </m:sSub>
              </m:den>
            </m:f>
          </m:e>
        </m:d>
      </m:oMath>
      <w:r w:rsidRPr="00645D60">
        <w:t>,</w:t>
      </w:r>
    </w:p>
    <w:p w14:paraId="6315742C" w14:textId="77777777" w:rsidR="00645D60" w:rsidRPr="00645D60" w:rsidRDefault="00645D60" w:rsidP="00645D60">
      <w:pPr>
        <w:jc w:val="both"/>
      </w:pPr>
      <w:r w:rsidRPr="00645D60">
        <w:t xml:space="preserve">where the </w:t>
      </w:r>
      <m:oMath>
        <m:sSub>
          <m:sSubPr>
            <m:ctrlPr>
              <w:rPr>
                <w:rFonts w:ascii="Cambria Math" w:hAnsi="Cambria Math"/>
                <w:color w:val="FF0000"/>
              </w:rPr>
            </m:ctrlPr>
          </m:sSubPr>
          <m:e>
            <m:acc>
              <m:accPr>
                <m:chr m:val="⃗"/>
                <m:ctrlPr>
                  <w:rPr>
                    <w:rFonts w:ascii="Cambria Math" w:hAnsi="Cambria Math"/>
                    <w:i/>
                    <w:color w:val="FF0000"/>
                  </w:rPr>
                </m:ctrlPr>
              </m:accPr>
              <m:e>
                <m:r>
                  <w:rPr>
                    <w:rFonts w:ascii="Cambria Math" w:hAnsi="Cambria Math"/>
                    <w:color w:val="FF0000"/>
                  </w:rPr>
                  <m:t>r</m:t>
                </m:r>
              </m:e>
            </m:acc>
          </m:e>
          <m:sub>
            <m:r>
              <w:rPr>
                <w:rFonts w:ascii="Cambria Math" w:hAnsi="Cambria Math"/>
                <w:color w:val="FF0000"/>
              </w:rPr>
              <m:t>u,s</m:t>
            </m:r>
          </m:sub>
        </m:sSub>
      </m:oMath>
      <w:r w:rsidRPr="00645D60">
        <w:t xml:space="preserve"> refers to the vector determined by the location of antenna element u and s. The </w:t>
      </w:r>
      <m:oMath>
        <m:sSub>
          <m:sSubPr>
            <m:ctrlPr>
              <w:rPr>
                <w:rFonts w:ascii="Cambria Math" w:hAnsi="Cambria Math"/>
                <w:i/>
                <w:color w:val="FF0000"/>
              </w:rPr>
            </m:ctrlPr>
          </m:sSubPr>
          <m:e>
            <m:r>
              <w:rPr>
                <w:rFonts w:ascii="Cambria Math" w:hAnsi="Cambria Math"/>
                <w:color w:val="FF0000"/>
              </w:rPr>
              <m:t>d</m:t>
            </m:r>
          </m:e>
          <m:sub>
            <m:r>
              <w:rPr>
                <w:rFonts w:ascii="Cambria Math" w:hAnsi="Cambria Math"/>
                <w:color w:val="FF0000"/>
              </w:rPr>
              <m:t>3D</m:t>
            </m:r>
          </m:sub>
        </m:sSub>
      </m:oMath>
      <w:r w:rsidRPr="00645D60">
        <w:t xml:space="preserve"> refers to the 3D distance between reference antenna at TRP and UE side.</w:t>
      </w:r>
    </w:p>
    <w:p w14:paraId="4916A569" w14:textId="77777777" w:rsidR="00645D60" w:rsidRPr="00645D60" w:rsidRDefault="00645D60" w:rsidP="00645D60">
      <w:pPr>
        <w:jc w:val="both"/>
        <w:rPr>
          <w:rFonts w:eastAsia="DengXian"/>
        </w:rPr>
      </w:pPr>
    </w:p>
    <w:p w14:paraId="04D4766E" w14:textId="77777777" w:rsidR="00645D60" w:rsidRPr="00645D60" w:rsidRDefault="00645D60" w:rsidP="00645D60">
      <w:pPr>
        <w:jc w:val="both"/>
        <w:rPr>
          <w:rFonts w:eastAsia="DengXian"/>
          <w:highlight w:val="green"/>
        </w:rPr>
      </w:pPr>
      <w:r w:rsidRPr="00645D60">
        <w:rPr>
          <w:rFonts w:eastAsia="DengXian"/>
          <w:highlight w:val="green"/>
        </w:rPr>
        <w:t>Agreement</w:t>
      </w:r>
    </w:p>
    <w:p w14:paraId="65CFFFCC" w14:textId="77777777" w:rsidR="00645D60" w:rsidRPr="00645D60" w:rsidRDefault="00645D60" w:rsidP="00645D60">
      <w:pPr>
        <w:pStyle w:val="ListParagraph"/>
        <w:ind w:left="0"/>
        <w:jc w:val="both"/>
        <w:rPr>
          <w:rFonts w:ascii="Times New Roman" w:eastAsia="DengXian" w:hAnsi="Times New Roman"/>
          <w:sz w:val="24"/>
          <w:szCs w:val="24"/>
        </w:rPr>
      </w:pPr>
      <w:r w:rsidRPr="00645D60">
        <w:rPr>
          <w:rFonts w:ascii="Times New Roman" w:eastAsia="DengXian" w:hAnsi="Times New Roman"/>
          <w:sz w:val="24"/>
          <w:szCs w:val="24"/>
        </w:rPr>
        <w:t>For near-field channel, if necessary, the following parameters of the non-direct path between TRP and UE should be modeled as antenna element-wise parameter.</w:t>
      </w:r>
    </w:p>
    <w:p w14:paraId="77952AE5" w14:textId="77777777" w:rsidR="00645D60" w:rsidRPr="00645D60" w:rsidRDefault="00645D60" w:rsidP="00645D60">
      <w:pPr>
        <w:pStyle w:val="ListParagraph"/>
        <w:widowControl w:val="0"/>
        <w:numPr>
          <w:ilvl w:val="0"/>
          <w:numId w:val="58"/>
        </w:numPr>
        <w:tabs>
          <w:tab w:val="left" w:pos="1304"/>
          <w:tab w:val="left" w:pos="1440"/>
          <w:tab w:val="left" w:pos="2160"/>
        </w:tabs>
        <w:snapToGrid w:val="0"/>
        <w:jc w:val="both"/>
        <w:rPr>
          <w:rFonts w:ascii="Times New Roman" w:hAnsi="Times New Roman"/>
          <w:sz w:val="24"/>
          <w:szCs w:val="24"/>
        </w:rPr>
      </w:pPr>
      <w:r w:rsidRPr="00645D60">
        <w:rPr>
          <w:rFonts w:ascii="Times New Roman" w:hAnsi="Times New Roman"/>
          <w:sz w:val="24"/>
          <w:szCs w:val="24"/>
        </w:rPr>
        <w:t>Phase</w:t>
      </w:r>
    </w:p>
    <w:p w14:paraId="309B81B6" w14:textId="77777777" w:rsidR="00645D60" w:rsidRPr="00645D60" w:rsidRDefault="00645D60" w:rsidP="00645D60">
      <w:pPr>
        <w:pStyle w:val="ListParagraph"/>
        <w:widowControl w:val="0"/>
        <w:numPr>
          <w:ilvl w:val="0"/>
          <w:numId w:val="58"/>
        </w:numPr>
        <w:tabs>
          <w:tab w:val="left" w:pos="1304"/>
          <w:tab w:val="left" w:pos="1440"/>
          <w:tab w:val="left" w:pos="2160"/>
        </w:tabs>
        <w:snapToGrid w:val="0"/>
        <w:jc w:val="both"/>
        <w:rPr>
          <w:rFonts w:ascii="Times New Roman" w:hAnsi="Times New Roman"/>
          <w:sz w:val="24"/>
          <w:szCs w:val="24"/>
        </w:rPr>
      </w:pPr>
      <w:r w:rsidRPr="00645D60">
        <w:rPr>
          <w:rFonts w:ascii="Times New Roman" w:hAnsi="Times New Roman"/>
          <w:sz w:val="24"/>
          <w:szCs w:val="24"/>
        </w:rPr>
        <w:t>FFS: Doppler shift, Angular domain parameters, delay</w:t>
      </w:r>
    </w:p>
    <w:p w14:paraId="58CBF9F5" w14:textId="77777777" w:rsidR="00645D60" w:rsidRPr="00645D60" w:rsidRDefault="00645D60" w:rsidP="00645D60">
      <w:pPr>
        <w:jc w:val="both"/>
        <w:rPr>
          <w:rFonts w:eastAsia="DengXian"/>
        </w:rPr>
      </w:pPr>
      <w:r w:rsidRPr="00645D60">
        <w:rPr>
          <w:rFonts w:eastAsia="DengXian"/>
        </w:rPr>
        <w:t>Observation</w:t>
      </w:r>
    </w:p>
    <w:p w14:paraId="244119DA" w14:textId="77777777" w:rsidR="00645D60" w:rsidRPr="00645D60" w:rsidRDefault="00645D60" w:rsidP="00645D60">
      <w:pPr>
        <w:jc w:val="both"/>
        <w:rPr>
          <w:rFonts w:eastAsia="DengXian"/>
          <w:iCs/>
          <w:strike/>
        </w:rPr>
      </w:pPr>
      <w:r w:rsidRPr="00645D60">
        <w:rPr>
          <w:rFonts w:eastAsia="DengXian"/>
          <w:iCs/>
        </w:rPr>
        <w:t>According to the inputs from multiple sources, partial blockage effect may cause the spatial non-stationarity.</w:t>
      </w:r>
    </w:p>
    <w:p w14:paraId="70897E9C" w14:textId="77777777" w:rsidR="00645D60" w:rsidRPr="00645D60" w:rsidRDefault="00645D60" w:rsidP="00645D60">
      <w:pPr>
        <w:jc w:val="both"/>
        <w:rPr>
          <w:rFonts w:eastAsia="DengXian"/>
          <w:iCs/>
        </w:rPr>
      </w:pPr>
    </w:p>
    <w:p w14:paraId="65CB0C46" w14:textId="77777777" w:rsidR="00645D60" w:rsidRPr="00645D60" w:rsidRDefault="00645D60" w:rsidP="00645D60">
      <w:pPr>
        <w:jc w:val="both"/>
        <w:rPr>
          <w:rFonts w:eastAsia="DengXian"/>
          <w:highlight w:val="green"/>
        </w:rPr>
      </w:pPr>
      <w:r w:rsidRPr="00645D60">
        <w:rPr>
          <w:rFonts w:eastAsia="DengXian"/>
          <w:highlight w:val="green"/>
        </w:rPr>
        <w:t>Agreement</w:t>
      </w:r>
    </w:p>
    <w:p w14:paraId="39A2BEF5" w14:textId="77777777" w:rsidR="00645D60" w:rsidRPr="00645D60" w:rsidRDefault="00645D60" w:rsidP="00645D60">
      <w:pPr>
        <w:pStyle w:val="ListParagraph"/>
        <w:numPr>
          <w:ilvl w:val="255"/>
          <w:numId w:val="0"/>
        </w:numPr>
        <w:jc w:val="both"/>
        <w:rPr>
          <w:rFonts w:ascii="Times New Roman" w:hAnsi="Times New Roman"/>
          <w:sz w:val="24"/>
          <w:szCs w:val="24"/>
        </w:rPr>
      </w:pPr>
      <w:r w:rsidRPr="00645D60">
        <w:rPr>
          <w:rFonts w:ascii="Times New Roman" w:hAnsi="Times New Roman"/>
          <w:sz w:val="24"/>
          <w:szCs w:val="24"/>
        </w:rPr>
        <w:t>For the modelling of spatial non-stationar</w:t>
      </w:r>
      <w:r w:rsidRPr="00645D60">
        <w:rPr>
          <w:rFonts w:ascii="Times New Roman" w:eastAsia="DengXian" w:hAnsi="Times New Roman"/>
          <w:sz w:val="24"/>
          <w:szCs w:val="24"/>
          <w:lang w:eastAsia="zh-CN"/>
        </w:rPr>
        <w:t>ity</w:t>
      </w:r>
      <w:r w:rsidRPr="00645D60">
        <w:rPr>
          <w:rFonts w:ascii="Times New Roman" w:hAnsi="Times New Roman"/>
          <w:sz w:val="24"/>
          <w:szCs w:val="24"/>
        </w:rPr>
        <w:t xml:space="preserve">, the variation (e.g., reduction) of power for the impacted ray/cluster within the element-pair link should be modelled as: </w:t>
      </w:r>
    </w:p>
    <w:p w14:paraId="33849B91" w14:textId="77777777" w:rsidR="00645D60" w:rsidRPr="00645D60" w:rsidRDefault="00645D60" w:rsidP="00645D60">
      <w:pPr>
        <w:widowControl w:val="0"/>
        <w:numPr>
          <w:ilvl w:val="0"/>
          <w:numId w:val="52"/>
        </w:numPr>
        <w:tabs>
          <w:tab w:val="left" w:pos="284"/>
          <w:tab w:val="left" w:pos="1440"/>
          <w:tab w:val="left" w:pos="2160"/>
        </w:tabs>
        <w:snapToGrid w:val="0"/>
        <w:ind w:left="284" w:hanging="284"/>
        <w:jc w:val="both"/>
      </w:pPr>
      <w:r w:rsidRPr="00645D60">
        <w:t>If visible probability (VP) or visibility region (VR) is adopted,</w:t>
      </w:r>
    </w:p>
    <w:p w14:paraId="0150C5FF" w14:textId="77777777" w:rsidR="00645D60" w:rsidRPr="00645D60" w:rsidRDefault="00645D60" w:rsidP="00645D60">
      <w:pPr>
        <w:widowControl w:val="0"/>
        <w:numPr>
          <w:ilvl w:val="0"/>
          <w:numId w:val="60"/>
        </w:numPr>
        <w:jc w:val="both"/>
      </w:pPr>
      <w:r w:rsidRPr="00645D60">
        <w:rPr>
          <w:rFonts w:eastAsia="SimSun"/>
        </w:rPr>
        <w:t>A power attenuation factor within [0 1] is introduced.</w:t>
      </w:r>
    </w:p>
    <w:p w14:paraId="12C88395" w14:textId="77777777" w:rsidR="00645D60" w:rsidRPr="00645D60" w:rsidRDefault="00645D60" w:rsidP="00645D60">
      <w:pPr>
        <w:widowControl w:val="0"/>
        <w:numPr>
          <w:ilvl w:val="0"/>
          <w:numId w:val="60"/>
        </w:numPr>
        <w:jc w:val="both"/>
      </w:pPr>
      <w:r w:rsidRPr="00645D60">
        <w:rPr>
          <w:rFonts w:eastAsia="SimSun"/>
        </w:rPr>
        <w:t>FFS: Details on how to determine the exact value for each cluster</w:t>
      </w:r>
    </w:p>
    <w:p w14:paraId="316CAA98" w14:textId="77777777" w:rsidR="00645D60" w:rsidRPr="00645D60" w:rsidRDefault="00645D60" w:rsidP="00645D60">
      <w:pPr>
        <w:widowControl w:val="0"/>
        <w:numPr>
          <w:ilvl w:val="0"/>
          <w:numId w:val="52"/>
        </w:numPr>
        <w:tabs>
          <w:tab w:val="left" w:pos="284"/>
          <w:tab w:val="left" w:pos="1440"/>
          <w:tab w:val="left" w:pos="2160"/>
        </w:tabs>
        <w:snapToGrid w:val="0"/>
        <w:ind w:left="284" w:hanging="284"/>
        <w:jc w:val="both"/>
      </w:pPr>
      <w:r w:rsidRPr="00645D60">
        <w:t>If physical blocker-based approach is adopted:</w:t>
      </w:r>
    </w:p>
    <w:p w14:paraId="30D968CB" w14:textId="77777777" w:rsidR="00645D60" w:rsidRPr="00645D60" w:rsidRDefault="00645D60" w:rsidP="00645D60">
      <w:pPr>
        <w:widowControl w:val="0"/>
        <w:numPr>
          <w:ilvl w:val="0"/>
          <w:numId w:val="60"/>
        </w:numPr>
        <w:jc w:val="both"/>
      </w:pPr>
      <w:r w:rsidRPr="00645D60">
        <w:t xml:space="preserve">Adopt the existing knife edge attenuation model in TR 38.901 in blockage Model-B to model the power attenuation per element with following update as: </w:t>
      </w:r>
    </w:p>
    <w:p w14:paraId="1F95EE3B" w14:textId="77777777" w:rsidR="00645D60" w:rsidRPr="00645D60" w:rsidRDefault="00645D60" w:rsidP="00645D60">
      <w:pPr>
        <w:widowControl w:val="0"/>
        <w:numPr>
          <w:ilvl w:val="0"/>
          <w:numId w:val="59"/>
        </w:numPr>
        <w:ind w:left="1300" w:hanging="440"/>
        <w:jc w:val="both"/>
      </w:pPr>
      <w:r w:rsidRPr="00645D60">
        <w:t>For each ray/cluster, rotating the blocker to ensure the arrival/departure direction at each Receive/Transmit antenna element is always perpendicular to the screen, respectively.</w:t>
      </w:r>
    </w:p>
    <w:p w14:paraId="55E10B49" w14:textId="77777777" w:rsidR="00645D60" w:rsidRPr="00645D60" w:rsidRDefault="00645D60" w:rsidP="00645D60">
      <w:pPr>
        <w:widowControl w:val="0"/>
        <w:numPr>
          <w:ilvl w:val="0"/>
          <w:numId w:val="60"/>
        </w:numPr>
        <w:jc w:val="both"/>
      </w:pPr>
      <w:r w:rsidRPr="00645D60">
        <w:t>FFS: applicability and details for blockage Model-A</w:t>
      </w:r>
    </w:p>
    <w:p w14:paraId="357ADA68" w14:textId="77777777" w:rsidR="00645D60" w:rsidRPr="00645D60" w:rsidRDefault="00645D60" w:rsidP="00645D60">
      <w:pPr>
        <w:jc w:val="both"/>
        <w:rPr>
          <w:rFonts w:eastAsia="DengXian"/>
        </w:rPr>
      </w:pPr>
    </w:p>
    <w:p w14:paraId="451992B6" w14:textId="77777777" w:rsidR="00645D60" w:rsidRPr="00645D60" w:rsidRDefault="00645D60" w:rsidP="00645D60">
      <w:pPr>
        <w:jc w:val="both"/>
        <w:rPr>
          <w:rFonts w:eastAsia="DengXian"/>
          <w:highlight w:val="green"/>
        </w:rPr>
      </w:pPr>
      <w:r w:rsidRPr="00645D60">
        <w:rPr>
          <w:rFonts w:eastAsia="DengXian"/>
          <w:highlight w:val="green"/>
        </w:rPr>
        <w:t>Agreement</w:t>
      </w:r>
    </w:p>
    <w:p w14:paraId="011E1C2C" w14:textId="77777777" w:rsidR="00645D60" w:rsidRPr="00645D60" w:rsidRDefault="00645D60" w:rsidP="00645D60">
      <w:pPr>
        <w:jc w:val="both"/>
      </w:pPr>
      <w:r w:rsidRPr="00645D60">
        <w:t xml:space="preserve">For the modelling of spatial non-stationarity, if physical blocker-based approach is adopted, the following additional blocker type can be considered for blockage model B: </w:t>
      </w:r>
    </w:p>
    <w:p w14:paraId="7B2B8578" w14:textId="77777777" w:rsidR="00645D60" w:rsidRPr="00645D60" w:rsidRDefault="00645D60" w:rsidP="00645D60">
      <w:pPr>
        <w:widowControl w:val="0"/>
        <w:numPr>
          <w:ilvl w:val="0"/>
          <w:numId w:val="52"/>
        </w:numPr>
        <w:tabs>
          <w:tab w:val="left" w:pos="284"/>
          <w:tab w:val="left" w:pos="1440"/>
          <w:tab w:val="left" w:pos="2160"/>
        </w:tabs>
        <w:snapToGrid w:val="0"/>
        <w:ind w:left="284" w:hanging="284"/>
        <w:jc w:val="both"/>
      </w:pPr>
      <w:r w:rsidRPr="00645D60">
        <w:t>Building edge for outdoor scenario</w:t>
      </w:r>
    </w:p>
    <w:p w14:paraId="4FAC435B" w14:textId="77777777" w:rsidR="00645D60" w:rsidRPr="00645D60" w:rsidRDefault="00645D60" w:rsidP="00645D60">
      <w:pPr>
        <w:widowControl w:val="0"/>
        <w:numPr>
          <w:ilvl w:val="0"/>
          <w:numId w:val="52"/>
        </w:numPr>
        <w:tabs>
          <w:tab w:val="left" w:pos="284"/>
          <w:tab w:val="left" w:pos="1440"/>
          <w:tab w:val="left" w:pos="2160"/>
        </w:tabs>
        <w:snapToGrid w:val="0"/>
        <w:ind w:left="284" w:hanging="284"/>
        <w:jc w:val="both"/>
      </w:pPr>
      <w:r w:rsidRPr="00645D60">
        <w:t>Small object, e.g., billboard, street lamp, pillar, for either indoor or outdoor scenario</w:t>
      </w:r>
    </w:p>
    <w:p w14:paraId="1EA0DB8B" w14:textId="77777777" w:rsidR="00645D60" w:rsidRPr="00645D60" w:rsidRDefault="00645D60" w:rsidP="00645D60">
      <w:pPr>
        <w:widowControl w:val="0"/>
        <w:numPr>
          <w:ilvl w:val="0"/>
          <w:numId w:val="52"/>
        </w:numPr>
        <w:tabs>
          <w:tab w:val="left" w:pos="284"/>
          <w:tab w:val="left" w:pos="1440"/>
          <w:tab w:val="left" w:pos="2160"/>
        </w:tabs>
        <w:snapToGrid w:val="0"/>
        <w:ind w:left="284" w:hanging="284"/>
        <w:jc w:val="both"/>
      </w:pPr>
      <w:r w:rsidRPr="00645D60">
        <w:t>FFS: UE-side (self-blockage) blocker for both indoor and outdoor scenario</w:t>
      </w:r>
    </w:p>
    <w:p w14:paraId="1C13230A" w14:textId="77777777" w:rsidR="00645D60" w:rsidRPr="00645D60" w:rsidRDefault="00645D60" w:rsidP="00645D60">
      <w:pPr>
        <w:widowControl w:val="0"/>
        <w:numPr>
          <w:ilvl w:val="0"/>
          <w:numId w:val="60"/>
        </w:numPr>
        <w:jc w:val="both"/>
      </w:pPr>
      <w:r w:rsidRPr="00645D60">
        <w:t>Details, e.g., blocker types such as Single hand grip, dual-hand grip, and head with one hand grip.</w:t>
      </w:r>
    </w:p>
    <w:p w14:paraId="2533EB4F" w14:textId="77777777" w:rsidR="00645D60" w:rsidRPr="00645D60" w:rsidRDefault="00645D60" w:rsidP="00645D60">
      <w:pPr>
        <w:jc w:val="both"/>
      </w:pPr>
      <w:r w:rsidRPr="00645D60">
        <w:t>FFS: the number and the location of the blocker between BS and one specific UE.</w:t>
      </w:r>
    </w:p>
    <w:p w14:paraId="53D703C6" w14:textId="77777777" w:rsidR="00645D60" w:rsidRPr="00645D60" w:rsidRDefault="00645D60" w:rsidP="00645D60">
      <w:pPr>
        <w:jc w:val="both"/>
      </w:pPr>
      <w:r w:rsidRPr="00645D60">
        <w:t>FFS: applicability and details for blockage Model-A</w:t>
      </w:r>
    </w:p>
    <w:p w14:paraId="7AB8A71B" w14:textId="77777777" w:rsidR="00645D60" w:rsidRPr="00645D60" w:rsidRDefault="00645D60" w:rsidP="00645D60">
      <w:pPr>
        <w:jc w:val="both"/>
        <w:rPr>
          <w:rFonts w:eastAsia="DengXian"/>
        </w:rPr>
      </w:pPr>
    </w:p>
    <w:p w14:paraId="18EFB165" w14:textId="77777777" w:rsidR="00645D60" w:rsidRPr="00645D60" w:rsidRDefault="00645D60" w:rsidP="00645D60">
      <w:pPr>
        <w:jc w:val="both"/>
        <w:rPr>
          <w:rFonts w:eastAsia="DengXian"/>
          <w:highlight w:val="green"/>
        </w:rPr>
      </w:pPr>
      <w:r w:rsidRPr="00645D60">
        <w:rPr>
          <w:rFonts w:eastAsia="DengXian"/>
          <w:highlight w:val="green"/>
        </w:rPr>
        <w:t>Agreement</w:t>
      </w:r>
    </w:p>
    <w:p w14:paraId="3E752976" w14:textId="77777777" w:rsidR="00645D60" w:rsidRPr="00645D60" w:rsidRDefault="00645D60" w:rsidP="00645D60">
      <w:pPr>
        <w:jc w:val="both"/>
      </w:pPr>
      <w:r w:rsidRPr="00645D60">
        <w:rPr>
          <w:rFonts w:eastAsia="DengXian"/>
        </w:rPr>
        <w:t>For near-field channel, if necessary, t</w:t>
      </w:r>
      <w:r w:rsidRPr="00645D60">
        <w:t xml:space="preserve">he antenna element-wise channel parameters of </w:t>
      </w:r>
      <w:r w:rsidRPr="00645D60">
        <w:rPr>
          <w:rFonts w:eastAsia="DengXian"/>
        </w:rPr>
        <w:t>non-direct path between TRP and UE</w:t>
      </w:r>
      <w:r w:rsidRPr="00645D60">
        <w:t xml:space="preserve"> can be determined by one of the following candidate options:</w:t>
      </w:r>
    </w:p>
    <w:p w14:paraId="2FC46F6E" w14:textId="77777777" w:rsidR="00645D60" w:rsidRPr="00645D60" w:rsidRDefault="00645D60" w:rsidP="00645D60">
      <w:pPr>
        <w:widowControl w:val="0"/>
        <w:numPr>
          <w:ilvl w:val="0"/>
          <w:numId w:val="52"/>
        </w:numPr>
        <w:tabs>
          <w:tab w:val="left" w:pos="284"/>
          <w:tab w:val="left" w:pos="1440"/>
          <w:tab w:val="left" w:pos="2160"/>
        </w:tabs>
        <w:snapToGrid w:val="0"/>
        <w:ind w:left="284" w:hanging="284"/>
        <w:jc w:val="both"/>
        <w:rPr>
          <w:rFonts w:eastAsia="SimSun"/>
        </w:rPr>
      </w:pPr>
      <w:r w:rsidRPr="00645D60">
        <w:rPr>
          <w:rFonts w:eastAsia="SimSun"/>
        </w:rPr>
        <w:t>Option-1: The antenna element-wise channel parameters are derived based on at least the distance between the BS/UE and a point associated with cluster.</w:t>
      </w:r>
    </w:p>
    <w:p w14:paraId="1DF3A774" w14:textId="77777777" w:rsidR="00645D60" w:rsidRPr="00645D60" w:rsidRDefault="00645D60" w:rsidP="00645D60">
      <w:pPr>
        <w:widowControl w:val="0"/>
        <w:numPr>
          <w:ilvl w:val="1"/>
          <w:numId w:val="50"/>
        </w:numPr>
        <w:ind w:left="860" w:hanging="440"/>
        <w:jc w:val="both"/>
      </w:pPr>
      <w:r w:rsidRPr="00645D60">
        <w:lastRenderedPageBreak/>
        <w:t>FFS: How to obtain the distance</w:t>
      </w:r>
      <w:r w:rsidRPr="00645D60">
        <w:rPr>
          <w:rFonts w:eastAsia="SimSun"/>
        </w:rPr>
        <w:t>.</w:t>
      </w:r>
      <w:r w:rsidRPr="00645D60">
        <w:t xml:space="preserve"> </w:t>
      </w:r>
    </w:p>
    <w:p w14:paraId="276BD479" w14:textId="77777777" w:rsidR="00645D60" w:rsidRPr="00645D60" w:rsidRDefault="00645D60" w:rsidP="00645D60">
      <w:pPr>
        <w:widowControl w:val="0"/>
        <w:numPr>
          <w:ilvl w:val="1"/>
          <w:numId w:val="50"/>
        </w:numPr>
        <w:ind w:left="860" w:hanging="440"/>
        <w:jc w:val="both"/>
      </w:pPr>
      <w:r w:rsidRPr="00645D60">
        <w:rPr>
          <w:rFonts w:eastAsia="SimSun"/>
        </w:rPr>
        <w:t>FFS: Other parameters.</w:t>
      </w:r>
    </w:p>
    <w:p w14:paraId="6EC2FCCC" w14:textId="77777777" w:rsidR="00645D60" w:rsidRPr="00645D60" w:rsidRDefault="00645D60" w:rsidP="00645D60">
      <w:pPr>
        <w:widowControl w:val="0"/>
        <w:numPr>
          <w:ilvl w:val="1"/>
          <w:numId w:val="50"/>
        </w:numPr>
        <w:ind w:left="860" w:hanging="440"/>
        <w:jc w:val="both"/>
      </w:pPr>
      <w:r w:rsidRPr="00645D60">
        <w:rPr>
          <w:rFonts w:eastAsia="SimSun"/>
        </w:rPr>
        <w:t>FFS: association between a point and a cluster</w:t>
      </w:r>
    </w:p>
    <w:p w14:paraId="49690BF4" w14:textId="77777777" w:rsidR="00645D60" w:rsidRPr="00645D60" w:rsidRDefault="00645D60" w:rsidP="00645D60">
      <w:pPr>
        <w:widowControl w:val="0"/>
        <w:numPr>
          <w:ilvl w:val="0"/>
          <w:numId w:val="52"/>
        </w:numPr>
        <w:tabs>
          <w:tab w:val="left" w:pos="284"/>
          <w:tab w:val="left" w:pos="1440"/>
          <w:tab w:val="left" w:pos="2160"/>
        </w:tabs>
        <w:snapToGrid w:val="0"/>
        <w:ind w:left="284" w:hanging="284"/>
        <w:jc w:val="both"/>
        <w:rPr>
          <w:rFonts w:eastAsia="SimSun"/>
        </w:rPr>
      </w:pPr>
      <w:r w:rsidRPr="00645D60">
        <w:rPr>
          <w:rFonts w:eastAsia="SimSun"/>
        </w:rPr>
        <w:t>Option-2: The antenna element-wise channel parameters are determined based on the existing spatial consistency procedure of TR 38.901 with updates.</w:t>
      </w:r>
    </w:p>
    <w:p w14:paraId="5DFC746B" w14:textId="77777777" w:rsidR="00645D60" w:rsidRPr="00645D60" w:rsidRDefault="00645D60" w:rsidP="00645D60">
      <w:pPr>
        <w:widowControl w:val="0"/>
        <w:numPr>
          <w:ilvl w:val="1"/>
          <w:numId w:val="50"/>
        </w:numPr>
        <w:ind w:left="860" w:hanging="440"/>
        <w:jc w:val="both"/>
      </w:pPr>
      <w:r w:rsidRPr="00645D60">
        <w:t xml:space="preserve">FFS: </w:t>
      </w:r>
      <w:r w:rsidRPr="00645D60">
        <w:rPr>
          <w:rFonts w:eastAsia="SimSun"/>
        </w:rPr>
        <w:t>Details to obtain the antenna element-wise parameters.</w:t>
      </w:r>
    </w:p>
    <w:p w14:paraId="390B1279" w14:textId="77777777" w:rsidR="00645D60" w:rsidRPr="00645D60" w:rsidRDefault="00645D60" w:rsidP="00645D60">
      <w:pPr>
        <w:jc w:val="both"/>
        <w:rPr>
          <w:rFonts w:eastAsia="DengXian"/>
        </w:rPr>
      </w:pPr>
      <w:r w:rsidRPr="00645D60">
        <w:t>Note: Companies are encouraged to check the Option-3 including the similarity/difference with Option-1</w:t>
      </w:r>
      <w:r w:rsidRPr="00645D60">
        <w:rPr>
          <w:rFonts w:eastAsia="DengXian"/>
        </w:rPr>
        <w:t>.</w:t>
      </w:r>
    </w:p>
    <w:p w14:paraId="78D0917B" w14:textId="77777777" w:rsidR="00645D60" w:rsidRPr="00645D60" w:rsidRDefault="00645D60" w:rsidP="00645D60">
      <w:pPr>
        <w:jc w:val="both"/>
        <w:rPr>
          <w:rFonts w:eastAsia="DengXian"/>
        </w:rPr>
      </w:pPr>
    </w:p>
    <w:p w14:paraId="746A209A" w14:textId="77777777" w:rsidR="00645D60" w:rsidRPr="00645D60" w:rsidRDefault="00645D60" w:rsidP="00645D60">
      <w:pPr>
        <w:jc w:val="both"/>
        <w:rPr>
          <w:rFonts w:eastAsia="DengXian"/>
          <w:highlight w:val="green"/>
        </w:rPr>
      </w:pPr>
      <w:r w:rsidRPr="00645D60">
        <w:rPr>
          <w:rFonts w:eastAsia="DengXian"/>
          <w:highlight w:val="green"/>
        </w:rPr>
        <w:t>Agreement</w:t>
      </w:r>
    </w:p>
    <w:p w14:paraId="2671BCFE" w14:textId="77777777" w:rsidR="00645D60" w:rsidRPr="00645D60" w:rsidRDefault="00645D60" w:rsidP="00645D60">
      <w:pPr>
        <w:jc w:val="both"/>
      </w:pPr>
      <w:r w:rsidRPr="00645D60">
        <w:t xml:space="preserve">For the modelling of spatial non-stationarity, if visible probability or visibility region is adopted, </w:t>
      </w:r>
    </w:p>
    <w:p w14:paraId="746C184A" w14:textId="77777777" w:rsidR="00645D60" w:rsidRPr="00645D60" w:rsidRDefault="00645D60" w:rsidP="00645D60">
      <w:pPr>
        <w:widowControl w:val="0"/>
        <w:numPr>
          <w:ilvl w:val="0"/>
          <w:numId w:val="52"/>
        </w:numPr>
        <w:tabs>
          <w:tab w:val="left" w:pos="284"/>
          <w:tab w:val="left" w:pos="1440"/>
          <w:tab w:val="left" w:pos="2160"/>
        </w:tabs>
        <w:snapToGrid w:val="0"/>
        <w:ind w:left="284" w:hanging="284"/>
        <w:jc w:val="both"/>
      </w:pPr>
      <w:r w:rsidRPr="00645D60">
        <w:t>Visible probability or visibility region is model</w:t>
      </w:r>
      <w:r w:rsidRPr="00645D60">
        <w:rPr>
          <w:rFonts w:eastAsia="DengXian"/>
        </w:rPr>
        <w:t>l</w:t>
      </w:r>
      <w:r w:rsidRPr="00645D60">
        <w:t>ed per cluster</w:t>
      </w:r>
    </w:p>
    <w:p w14:paraId="71ECBBAD" w14:textId="77777777" w:rsidR="00645D60" w:rsidRPr="00645D60" w:rsidRDefault="00645D60" w:rsidP="00645D60">
      <w:pPr>
        <w:widowControl w:val="0"/>
        <w:numPr>
          <w:ilvl w:val="0"/>
          <w:numId w:val="60"/>
        </w:numPr>
        <w:jc w:val="both"/>
      </w:pPr>
      <w:r w:rsidRPr="00645D60">
        <w:t>FFS Ratio of UEs and clusters that have SNS impact</w:t>
      </w:r>
    </w:p>
    <w:p w14:paraId="21E8D229" w14:textId="77777777" w:rsidR="00645D60" w:rsidRPr="00645D60" w:rsidRDefault="00645D60" w:rsidP="00645D60">
      <w:pPr>
        <w:widowControl w:val="0"/>
        <w:numPr>
          <w:ilvl w:val="0"/>
          <w:numId w:val="52"/>
        </w:numPr>
        <w:tabs>
          <w:tab w:val="left" w:pos="284"/>
          <w:tab w:val="left" w:pos="1440"/>
          <w:tab w:val="left" w:pos="2160"/>
        </w:tabs>
        <w:snapToGrid w:val="0"/>
        <w:ind w:left="284" w:hanging="284"/>
        <w:jc w:val="both"/>
      </w:pPr>
      <w:r w:rsidRPr="00645D60">
        <w:t>Rectangle can be considered as starting point for shape of VR with following alternatives to define the size:</w:t>
      </w:r>
    </w:p>
    <w:p w14:paraId="7BD3418A" w14:textId="77777777" w:rsidR="00645D60" w:rsidRPr="00645D60" w:rsidRDefault="00645D60" w:rsidP="00645D60">
      <w:pPr>
        <w:widowControl w:val="0"/>
        <w:numPr>
          <w:ilvl w:val="0"/>
          <w:numId w:val="60"/>
        </w:numPr>
        <w:jc w:val="both"/>
        <w:rPr>
          <w:rFonts w:eastAsia="SimSun"/>
        </w:rPr>
      </w:pPr>
      <w:r w:rsidRPr="00645D60">
        <w:t>Alt 1: VR size is defined as number of elements generated by a distribution</w:t>
      </w:r>
    </w:p>
    <w:p w14:paraId="72863262" w14:textId="77777777" w:rsidR="00645D60" w:rsidRPr="00645D60" w:rsidRDefault="00645D60" w:rsidP="00645D60">
      <w:pPr>
        <w:widowControl w:val="0"/>
        <w:numPr>
          <w:ilvl w:val="0"/>
          <w:numId w:val="59"/>
        </w:numPr>
        <w:ind w:left="1300" w:hanging="440"/>
        <w:jc w:val="both"/>
      </w:pPr>
      <w:r w:rsidRPr="00645D60">
        <w:t>FFS distribution</w:t>
      </w:r>
    </w:p>
    <w:p w14:paraId="2147BEFB" w14:textId="77777777" w:rsidR="00645D60" w:rsidRPr="00645D60" w:rsidRDefault="00645D60" w:rsidP="00645D60">
      <w:pPr>
        <w:widowControl w:val="0"/>
        <w:numPr>
          <w:ilvl w:val="0"/>
          <w:numId w:val="60"/>
        </w:numPr>
        <w:jc w:val="both"/>
      </w:pPr>
      <w:r w:rsidRPr="00645D60">
        <w:t xml:space="preserve">Alt 2: VR size is </w:t>
      </w:r>
      <w:r w:rsidRPr="00645D60">
        <w:rPr>
          <w:rFonts w:eastAsia="DengXian"/>
        </w:rPr>
        <w:t>derived</w:t>
      </w:r>
      <w:r w:rsidRPr="00645D60">
        <w:t xml:space="preserve"> based on distance between antenna array </w:t>
      </w:r>
      <w:r w:rsidRPr="00645D60">
        <w:rPr>
          <w:rFonts w:eastAsia="DengXian"/>
        </w:rPr>
        <w:t xml:space="preserve">of BS </w:t>
      </w:r>
      <w:r w:rsidRPr="00645D60">
        <w:t xml:space="preserve">and </w:t>
      </w:r>
      <w:r w:rsidRPr="00645D60">
        <w:rPr>
          <w:rFonts w:eastAsia="DengXian"/>
        </w:rPr>
        <w:t>UE/cluster</w:t>
      </w:r>
    </w:p>
    <w:p w14:paraId="587673E1" w14:textId="77777777" w:rsidR="00645D60" w:rsidRPr="00645D60" w:rsidRDefault="00645D60" w:rsidP="00645D60">
      <w:pPr>
        <w:widowControl w:val="0"/>
        <w:numPr>
          <w:ilvl w:val="0"/>
          <w:numId w:val="59"/>
        </w:numPr>
        <w:ind w:left="1300" w:hanging="440"/>
        <w:jc w:val="both"/>
      </w:pPr>
      <w:r w:rsidRPr="00645D60">
        <w:t>Note: Cluster location is required in this alternative</w:t>
      </w:r>
    </w:p>
    <w:p w14:paraId="534870A1" w14:textId="77777777" w:rsidR="00645D60" w:rsidRPr="00645D60" w:rsidRDefault="00645D60" w:rsidP="00645D60">
      <w:pPr>
        <w:widowControl w:val="0"/>
        <w:numPr>
          <w:ilvl w:val="0"/>
          <w:numId w:val="60"/>
        </w:numPr>
        <w:jc w:val="both"/>
      </w:pPr>
      <w:r w:rsidRPr="00645D60">
        <w:t>Alt 3: VR size is randomly generated with a minimum size limit</w:t>
      </w:r>
    </w:p>
    <w:p w14:paraId="0EA6609D" w14:textId="77777777" w:rsidR="006F3E21" w:rsidRDefault="006F3E21" w:rsidP="00385C75">
      <w:pPr>
        <w:jc w:val="both"/>
      </w:pPr>
    </w:p>
    <w:p w14:paraId="65E8C13E" w14:textId="27A20BAB" w:rsidR="006400C7" w:rsidRPr="006400C7" w:rsidRDefault="006400C7" w:rsidP="00385C75">
      <w:pPr>
        <w:jc w:val="both"/>
      </w:pPr>
      <w:r>
        <w:t xml:space="preserve">In this contribution, we </w:t>
      </w:r>
      <w:r w:rsidR="00991887">
        <w:t xml:space="preserve">provide our </w:t>
      </w:r>
      <w:r w:rsidR="006A669F">
        <w:t>views on</w:t>
      </w:r>
      <w:r w:rsidR="00385112">
        <w:t xml:space="preserve"> the </w:t>
      </w:r>
      <w:r w:rsidR="005C0B47">
        <w:t xml:space="preserve">channel model </w:t>
      </w:r>
      <w:r w:rsidR="00457D24">
        <w:t>adaptation/extension</w:t>
      </w:r>
      <w:r w:rsidR="005C0B47">
        <w:t xml:space="preserve"> of TR 38.901 for 7-24 GHz</w:t>
      </w:r>
      <w:r w:rsidR="00385112">
        <w:t xml:space="preserve">. </w:t>
      </w:r>
    </w:p>
    <w:p w14:paraId="24797554" w14:textId="77777777" w:rsidR="004B697C" w:rsidRDefault="00EA5A5B" w:rsidP="000004DF">
      <w:pPr>
        <w:pStyle w:val="Heading1"/>
      </w:pPr>
      <w:r>
        <w:t>Discussion</w:t>
      </w:r>
    </w:p>
    <w:p w14:paraId="191767C9" w14:textId="5E6A62A5" w:rsidR="00C4487A" w:rsidRDefault="00C4487A" w:rsidP="00C4487A">
      <w:pPr>
        <w:jc w:val="both"/>
      </w:pPr>
      <w:r>
        <w:t>According to the</w:t>
      </w:r>
      <w:r w:rsidR="004B697C">
        <w:t xml:space="preserve"> high-level timeline for 6G</w:t>
      </w:r>
      <w:r w:rsidR="00FF3345">
        <w:t xml:space="preserve"> </w:t>
      </w:r>
      <w:r w:rsidR="00FF3345">
        <w:fldChar w:fldCharType="begin"/>
      </w:r>
      <w:r w:rsidR="00FF3345">
        <w:instrText xml:space="preserve"> REF _Ref166225040 \r \h </w:instrText>
      </w:r>
      <w:r w:rsidR="00FF3345">
        <w:fldChar w:fldCharType="separate"/>
      </w:r>
      <w:r w:rsidR="00645D60">
        <w:t>[3]</w:t>
      </w:r>
      <w:r w:rsidR="00FF3345">
        <w:fldChar w:fldCharType="end"/>
      </w:r>
      <w:r>
        <w:t xml:space="preserve">, the studies for 6G in 3GPP are expected to start from Release 20. </w:t>
      </w:r>
      <w:r w:rsidR="004B697C">
        <w:t xml:space="preserve">One candidate spectrum </w:t>
      </w:r>
      <w:r>
        <w:t>applicable</w:t>
      </w:r>
      <w:r w:rsidR="004B697C">
        <w:t xml:space="preserve"> for 6G</w:t>
      </w:r>
      <w:r>
        <w:t xml:space="preserve"> is 7-24 GHz. In preparation for 6G study, the channel model for 7-24 GHz needs to be examined.</w:t>
      </w:r>
    </w:p>
    <w:p w14:paraId="2C4734A4" w14:textId="77777777" w:rsidR="00C4487A" w:rsidRDefault="00C4487A" w:rsidP="00C4487A">
      <w:pPr>
        <w:jc w:val="both"/>
      </w:pPr>
    </w:p>
    <w:p w14:paraId="251B7F78" w14:textId="57CE88F2" w:rsidR="00C4487A" w:rsidRDefault="00C4487A" w:rsidP="00C4487A">
      <w:pPr>
        <w:jc w:val="both"/>
      </w:pPr>
      <w:r>
        <w:t>The channel model is provided in TR38.901</w:t>
      </w:r>
      <w:r w:rsidR="00FF3345">
        <w:fldChar w:fldCharType="begin"/>
      </w:r>
      <w:r w:rsidR="00FF3345">
        <w:instrText xml:space="preserve"> REF _Ref166225065 \r \h </w:instrText>
      </w:r>
      <w:r w:rsidR="00FF3345">
        <w:fldChar w:fldCharType="separate"/>
      </w:r>
      <w:r w:rsidR="00645D60">
        <w:t>[4]</w:t>
      </w:r>
      <w:r w:rsidR="00FF3345">
        <w:fldChar w:fldCharType="end"/>
      </w:r>
      <w:r w:rsidR="00FF3345">
        <w:t>,</w:t>
      </w:r>
      <w:r>
        <w:t xml:space="preserve"> which covers frequencies from 0.5 GHz to 100 GHz. However, this channel model was established, mainly based on measurements deployed for sub-6 GHz and above 24 GHz. Hence, the validation of this channel model for 7-24 GHz needs to be verified via measurements. </w:t>
      </w:r>
    </w:p>
    <w:p w14:paraId="387C752E" w14:textId="77777777" w:rsidR="00C4487A" w:rsidRDefault="00C4487A" w:rsidP="00C4487A">
      <w:pPr>
        <w:jc w:val="both"/>
      </w:pPr>
    </w:p>
    <w:p w14:paraId="145EE776" w14:textId="2A4D49DF" w:rsidR="00C4487A" w:rsidRDefault="00C97F36" w:rsidP="00C4487A">
      <w:pPr>
        <w:jc w:val="both"/>
      </w:pPr>
      <w:r>
        <w:t xml:space="preserve">Also, it is mentioned in SID </w:t>
      </w:r>
      <w:r>
        <w:fldChar w:fldCharType="begin"/>
      </w:r>
      <w:r>
        <w:instrText xml:space="preserve"> REF _Ref146048113 \r \h </w:instrText>
      </w:r>
      <w:r>
        <w:fldChar w:fldCharType="separate"/>
      </w:r>
      <w:r w:rsidR="00645D60">
        <w:t>[1]</w:t>
      </w:r>
      <w:r>
        <w:fldChar w:fldCharType="end"/>
      </w:r>
      <w:r>
        <w:t xml:space="preserve"> to extend the channel model of TR 38.901 at least for 7-24 GHz for applicable scenarios of near-field propagation and spatial non-stationarity. We shall discuss these two aspects in the following sub-sections. </w:t>
      </w:r>
    </w:p>
    <w:p w14:paraId="62C37781" w14:textId="77777777" w:rsidR="00BA5DDD" w:rsidRPr="004B697C" w:rsidRDefault="00BA5DDD" w:rsidP="00C4487A">
      <w:pPr>
        <w:jc w:val="both"/>
      </w:pPr>
    </w:p>
    <w:p w14:paraId="76A4B38E" w14:textId="15192B1B" w:rsidR="003D3FA5" w:rsidRPr="003D3FA5" w:rsidRDefault="004B697C" w:rsidP="003D3FA5">
      <w:pPr>
        <w:pStyle w:val="Heading2"/>
      </w:pPr>
      <w:r w:rsidRPr="00457D24">
        <w:t>Near-field propagation</w:t>
      </w:r>
    </w:p>
    <w:p w14:paraId="518F2547" w14:textId="151D8814" w:rsidR="000A3BD7" w:rsidRDefault="000A3BD7" w:rsidP="000A3BD7">
      <w:pPr>
        <w:jc w:val="both"/>
      </w:pPr>
      <w:r>
        <w:t xml:space="preserve">The existing channel model </w:t>
      </w:r>
      <w:r>
        <w:fldChar w:fldCharType="begin"/>
      </w:r>
      <w:r>
        <w:instrText xml:space="preserve"> REF _Ref166225065 \r \h </w:instrText>
      </w:r>
      <w:r>
        <w:fldChar w:fldCharType="separate"/>
      </w:r>
      <w:r w:rsidR="00645D60">
        <w:t>[4]</w:t>
      </w:r>
      <w:r>
        <w:fldChar w:fldCharType="end"/>
      </w:r>
      <w:r>
        <w:t xml:space="preserve"> assumes far-field propagation, which implies planar wave and linear phase. It is expected that extremely large antenna arrays (ELAA) will be deployed in 6G system to extend the cell coverage. This antenna aperture is largely increased in ELAA. </w:t>
      </w:r>
    </w:p>
    <w:p w14:paraId="7B95E51D" w14:textId="77777777" w:rsidR="000A3BD7" w:rsidRDefault="000A3BD7" w:rsidP="000A3BD7">
      <w:pPr>
        <w:jc w:val="both"/>
      </w:pPr>
    </w:p>
    <w:p w14:paraId="65EF5D2C" w14:textId="77777777" w:rsidR="00560655" w:rsidRDefault="000A3BD7" w:rsidP="00696FAE">
      <w:pPr>
        <w:jc w:val="both"/>
      </w:pPr>
      <w:r>
        <w:t xml:space="preserve">It is known that far-field region and near-field region is separated at Rayleigh distance, given by </w:t>
      </w:r>
      <m:oMath>
        <m:r>
          <w:rPr>
            <w:rFonts w:ascii="Cambria Math" w:hAnsi="Cambria Math"/>
          </w:rPr>
          <m:t>R=</m:t>
        </m:r>
        <m:f>
          <m:fPr>
            <m:ctrlPr>
              <w:rPr>
                <w:rFonts w:ascii="Cambria Math" w:hAnsi="Cambria Math"/>
                <w:i/>
              </w:rPr>
            </m:ctrlPr>
          </m:fPr>
          <m:num>
            <m:r>
              <w:rPr>
                <w:rFonts w:ascii="Cambria Math" w:hAnsi="Cambria Math"/>
              </w:rPr>
              <m:t>2</m:t>
            </m:r>
            <m:sSup>
              <m:sSupPr>
                <m:ctrlPr>
                  <w:rPr>
                    <w:rFonts w:ascii="Cambria Math" w:hAnsi="Cambria Math"/>
                    <w:i/>
                  </w:rPr>
                </m:ctrlPr>
              </m:sSupPr>
              <m:e>
                <m:r>
                  <w:rPr>
                    <w:rFonts w:ascii="Cambria Math" w:hAnsi="Cambria Math"/>
                  </w:rPr>
                  <m:t>D</m:t>
                </m:r>
              </m:e>
              <m:sup>
                <m:r>
                  <w:rPr>
                    <w:rFonts w:ascii="Cambria Math" w:hAnsi="Cambria Math"/>
                  </w:rPr>
                  <m:t>2</m:t>
                </m:r>
              </m:sup>
            </m:sSup>
          </m:num>
          <m:den>
            <m:r>
              <w:rPr>
                <w:rFonts w:ascii="Cambria Math" w:hAnsi="Cambria Math"/>
              </w:rPr>
              <m:t>λ</m:t>
            </m:r>
          </m:den>
        </m:f>
      </m:oMath>
      <w:r>
        <w:t xml:space="preserve">, where </w:t>
      </w:r>
      <m:oMath>
        <m:r>
          <w:rPr>
            <w:rFonts w:ascii="Cambria Math" w:hAnsi="Cambria Math"/>
          </w:rPr>
          <m:t>D</m:t>
        </m:r>
      </m:oMath>
      <w:r>
        <w:t xml:space="preserve"> is antenna aperture size and </w:t>
      </w:r>
      <m:oMath>
        <m:r>
          <w:rPr>
            <w:rFonts w:ascii="Cambria Math" w:hAnsi="Cambria Math"/>
          </w:rPr>
          <m:t>λ</m:t>
        </m:r>
      </m:oMath>
      <w:r>
        <w:t xml:space="preserve"> is wavelength. Consider a simple example that the antenna aperture size is 1 meter and carrier frequency is 14 GHz. The Rayleigh distance is 93 meters. This distance is comparable with cell size, and hence, the near-field propagation should not be ignored as in the existing channel model. </w:t>
      </w:r>
    </w:p>
    <w:p w14:paraId="7161813B" w14:textId="1A37A98A" w:rsidR="00560655" w:rsidRDefault="00696FAE" w:rsidP="00696FAE">
      <w:pPr>
        <w:jc w:val="both"/>
        <w:rPr>
          <w:noProof/>
        </w:rPr>
      </w:pPr>
      <w:r>
        <w:rPr>
          <w:noProof/>
        </w:rPr>
        <w:lastRenderedPageBreak/>
        <w:t xml:space="preserve">It was </w:t>
      </w:r>
      <w:r w:rsidR="00560655">
        <w:rPr>
          <w:noProof/>
        </w:rPr>
        <w:t>agreed</w:t>
      </w:r>
      <w:r w:rsidR="000A52AD">
        <w:rPr>
          <w:noProof/>
        </w:rPr>
        <w:t xml:space="preserve"> </w:t>
      </w:r>
      <w:r w:rsidR="000A52AD">
        <w:rPr>
          <w:noProof/>
        </w:rPr>
        <w:fldChar w:fldCharType="begin"/>
      </w:r>
      <w:r w:rsidR="000A52AD">
        <w:rPr>
          <w:noProof/>
        </w:rPr>
        <w:instrText xml:space="preserve"> REF _Ref146638431 \r \h </w:instrText>
      </w:r>
      <w:r w:rsidR="000A52AD">
        <w:rPr>
          <w:noProof/>
        </w:rPr>
      </w:r>
      <w:r w:rsidR="000A52AD">
        <w:rPr>
          <w:noProof/>
        </w:rPr>
        <w:fldChar w:fldCharType="separate"/>
      </w:r>
      <w:r w:rsidR="000A52AD">
        <w:rPr>
          <w:noProof/>
        </w:rPr>
        <w:t>[2]</w:t>
      </w:r>
      <w:r w:rsidR="000A52AD">
        <w:rPr>
          <w:noProof/>
        </w:rPr>
        <w:fldChar w:fldCharType="end"/>
      </w:r>
      <w:r>
        <w:rPr>
          <w:noProof/>
        </w:rPr>
        <w:t xml:space="preserve"> that for near-field channel modeling, no changes are expected on</w:t>
      </w:r>
      <w:r w:rsidR="00560655">
        <w:rPr>
          <w:noProof/>
        </w:rPr>
        <w:t xml:space="preserve"> large-scale parameters including</w:t>
      </w:r>
      <w:r>
        <w:rPr>
          <w:noProof/>
        </w:rPr>
        <w:t xml:space="preserve"> pathloss model, SF</w:t>
      </w:r>
      <w:r w:rsidR="00560655">
        <w:rPr>
          <w:noProof/>
        </w:rPr>
        <w:t xml:space="preserve">, </w:t>
      </w:r>
      <w:r>
        <w:rPr>
          <w:noProof/>
        </w:rPr>
        <w:t>LOS propabability, DS, ASA, ASD, ZSA, ZSD</w:t>
      </w:r>
      <w:r w:rsidR="00560655">
        <w:rPr>
          <w:noProof/>
        </w:rPr>
        <w:t xml:space="preserve"> and</w:t>
      </w:r>
      <w:r>
        <w:rPr>
          <w:noProof/>
        </w:rPr>
        <w:t xml:space="preserve"> K factor</w:t>
      </w:r>
      <w:r w:rsidR="00560655">
        <w:rPr>
          <w:noProof/>
        </w:rPr>
        <w:t xml:space="preserve">. In the following, we shall discuss the impact of near-field channel modeling on small-scale parameters. </w:t>
      </w:r>
    </w:p>
    <w:p w14:paraId="1ACC7BD8" w14:textId="77777777" w:rsidR="00BA5DDD" w:rsidRDefault="00BA5DDD" w:rsidP="006F3E21"/>
    <w:p w14:paraId="3EC3AE23" w14:textId="5ECFCF1B" w:rsidR="007C3BCB" w:rsidRDefault="007C3BCB" w:rsidP="007C3BCB">
      <w:pPr>
        <w:jc w:val="both"/>
      </w:pPr>
      <w:r>
        <w:t>The near-field channel modeling was studied, and it was agreed that for direct path between TRP and UE, the phase is to be modeled</w:t>
      </w:r>
      <w:r w:rsidR="00541188">
        <w:t xml:space="preserve"> as an antenna-element-wise channel parameter</w:t>
      </w:r>
      <w:r>
        <w:t>.</w:t>
      </w:r>
      <w:r w:rsidR="001D3275">
        <w:t xml:space="preserve"> It was concluded that for direct path, no changes are expected on amplitude and polarization matrix. I</w:t>
      </w:r>
      <w:r>
        <w:t xml:space="preserve">t is open on the other parameters. </w:t>
      </w:r>
    </w:p>
    <w:p w14:paraId="32F0DD27" w14:textId="77777777" w:rsidR="007C3BCB" w:rsidRDefault="007C3BCB" w:rsidP="007C3BCB">
      <w:pPr>
        <w:jc w:val="both"/>
      </w:pPr>
    </w:p>
    <w:p w14:paraId="2D575213" w14:textId="0B390867" w:rsidR="00317D99" w:rsidRDefault="007C3BCB" w:rsidP="00317D99">
      <w:pPr>
        <w:jc w:val="both"/>
        <w:rPr>
          <w:noProof/>
        </w:rPr>
      </w:pPr>
      <w:r>
        <w:t xml:space="preserve">In our view, the angular domain parameters needs to be separately modeled </w:t>
      </w:r>
      <w:r w:rsidR="00541188">
        <w:t>as</w:t>
      </w:r>
      <w:r>
        <w:t xml:space="preserve"> antenna-element-wise channel parameters. </w:t>
      </w:r>
      <w:r w:rsidR="00317D99">
        <w:rPr>
          <w:noProof/>
        </w:rPr>
        <w:t xml:space="preserve">This is because in spherical wave of near-field, different TRP antenna elements to a UE antenna element have different angles. </w:t>
      </w:r>
      <w:r w:rsidR="00B9544D">
        <w:rPr>
          <w:noProof/>
        </w:rPr>
        <w:t>In general,</w:t>
      </w:r>
      <w:r w:rsidR="00317D99">
        <w:rPr>
          <w:noProof/>
        </w:rPr>
        <w:t xml:space="preserve"> the angle</w:t>
      </w:r>
      <w:r w:rsidR="0027003D">
        <w:rPr>
          <w:noProof/>
        </w:rPr>
        <w:t>s</w:t>
      </w:r>
      <w:r w:rsidR="00317D99">
        <w:rPr>
          <w:noProof/>
        </w:rPr>
        <w:t xml:space="preserve"> of arrival (AoA, ZoA) and the angle</w:t>
      </w:r>
      <w:r w:rsidR="0027003D">
        <w:rPr>
          <w:noProof/>
        </w:rPr>
        <w:t>s</w:t>
      </w:r>
      <w:r w:rsidR="00317D99">
        <w:rPr>
          <w:noProof/>
        </w:rPr>
        <w:t xml:space="preserve"> of departure (AoD, ZoD) of direct path between TRP and UE have different values for different antenna element pairs between TRP and UE. </w:t>
      </w:r>
      <w:r w:rsidR="00B9544D">
        <w:rPr>
          <w:noProof/>
        </w:rPr>
        <w:t>Specifically</w:t>
      </w:r>
      <w:r w:rsidR="00317D99">
        <w:rPr>
          <w:noProof/>
        </w:rPr>
        <w:t xml:space="preserve">, the closer the distance between TRP and UE, the larger the difference among different antenna element pairs. </w:t>
      </w:r>
    </w:p>
    <w:p w14:paraId="45CD030A" w14:textId="77777777" w:rsidR="00B9544D" w:rsidRDefault="00B9544D" w:rsidP="00317D99">
      <w:pPr>
        <w:jc w:val="both"/>
        <w:rPr>
          <w:noProof/>
        </w:rPr>
      </w:pPr>
    </w:p>
    <w:p w14:paraId="77605C20" w14:textId="1EB57321" w:rsidR="00B9544D" w:rsidRDefault="00B9544D" w:rsidP="00317D99">
      <w:pPr>
        <w:jc w:val="both"/>
        <w:rPr>
          <w:noProof/>
        </w:rPr>
      </w:pPr>
      <w:r>
        <w:rPr>
          <w:noProof/>
        </w:rPr>
        <w:t>Since the Doppler frequency component</w:t>
      </w:r>
      <w:r w:rsidR="0027003D">
        <w:rPr>
          <w:noProof/>
        </w:rPr>
        <w:t xml:space="preserve"> depends on the arrival angles (e.g., formula 7.5-25 of </w:t>
      </w:r>
      <w:r w:rsidR="0027003D">
        <w:rPr>
          <w:noProof/>
        </w:rPr>
        <w:fldChar w:fldCharType="begin"/>
      </w:r>
      <w:r w:rsidR="0027003D">
        <w:rPr>
          <w:noProof/>
        </w:rPr>
        <w:instrText xml:space="preserve"> REF _Ref166225065 \r \h </w:instrText>
      </w:r>
      <w:r w:rsidR="0027003D">
        <w:rPr>
          <w:noProof/>
        </w:rPr>
      </w:r>
      <w:r w:rsidR="0027003D">
        <w:rPr>
          <w:noProof/>
        </w:rPr>
        <w:fldChar w:fldCharType="separate"/>
      </w:r>
      <w:r w:rsidR="00645D60">
        <w:rPr>
          <w:noProof/>
        </w:rPr>
        <w:t>[4]</w:t>
      </w:r>
      <w:r w:rsidR="0027003D">
        <w:rPr>
          <w:noProof/>
        </w:rPr>
        <w:fldChar w:fldCharType="end"/>
      </w:r>
      <w:r w:rsidR="0027003D">
        <w:rPr>
          <w:noProof/>
        </w:rPr>
        <w:t xml:space="preserve">), we think it is necessary to seperately model the Doppler shift for each pair of TRP antenna element and UE antenna element. </w:t>
      </w:r>
    </w:p>
    <w:p w14:paraId="50EBF433" w14:textId="77777777" w:rsidR="003716A5" w:rsidRDefault="003716A5" w:rsidP="00317D99">
      <w:pPr>
        <w:jc w:val="both"/>
        <w:rPr>
          <w:noProof/>
        </w:rPr>
      </w:pPr>
    </w:p>
    <w:p w14:paraId="4636CFD8" w14:textId="5924CA29" w:rsidR="003716A5" w:rsidRDefault="003716A5" w:rsidP="00317D99">
      <w:pPr>
        <w:jc w:val="both"/>
      </w:pPr>
      <w:r w:rsidRPr="00560655">
        <w:rPr>
          <w:noProof/>
        </w:rPr>
        <w:t>On the other hand, different pairs of TRP antenna element and UE antenna element have different delays for dire</w:t>
      </w:r>
      <w:r w:rsidR="002670BE" w:rsidRPr="00560655">
        <w:rPr>
          <w:noProof/>
        </w:rPr>
        <w:t>c</w:t>
      </w:r>
      <w:r w:rsidRPr="00560655">
        <w:rPr>
          <w:noProof/>
        </w:rPr>
        <w:t xml:space="preserve">t path. For instance, for UMa scenario with the maximum antenne aperture of 1.5 m, the maixmum relative delay is 5 ns. </w:t>
      </w:r>
      <w:r w:rsidR="00560655" w:rsidRPr="00560655">
        <w:rPr>
          <w:noProof/>
        </w:rPr>
        <w:t>This is non-</w:t>
      </w:r>
      <w:r w:rsidRPr="00560655">
        <w:rPr>
          <w:noProof/>
        </w:rPr>
        <w:t>negligible</w:t>
      </w:r>
      <w:r w:rsidR="00560655" w:rsidRPr="00560655">
        <w:rPr>
          <w:noProof/>
        </w:rPr>
        <w:t xml:space="preserve"> considering cluster delay spread could be smaller or equal to 5 ns.</w:t>
      </w:r>
      <w:r w:rsidR="00560655">
        <w:rPr>
          <w:noProof/>
        </w:rPr>
        <w:t xml:space="preserve"> Hence, it is preferred to model the delay for each pair of TRP antenna element and UE antenna element. </w:t>
      </w:r>
    </w:p>
    <w:p w14:paraId="2FF967DC" w14:textId="77777777" w:rsidR="003716A5" w:rsidRDefault="003716A5" w:rsidP="00317D99">
      <w:pPr>
        <w:jc w:val="both"/>
        <w:rPr>
          <w:noProof/>
        </w:rPr>
      </w:pPr>
    </w:p>
    <w:p w14:paraId="6AB7ED45" w14:textId="767A7CA5" w:rsidR="003716A5" w:rsidRDefault="003716A5" w:rsidP="00317D99">
      <w:pPr>
        <w:jc w:val="both"/>
        <w:rPr>
          <w:noProof/>
        </w:rPr>
      </w:pPr>
      <w:r>
        <w:rPr>
          <w:noProof/>
        </w:rPr>
        <w:t xml:space="preserve">Based on the above analysis, we have the following proposal. </w:t>
      </w:r>
    </w:p>
    <w:p w14:paraId="7455FD7D" w14:textId="77777777" w:rsidR="00BA5DDD" w:rsidRDefault="00BA5DDD" w:rsidP="006F3E21"/>
    <w:p w14:paraId="79C8D282" w14:textId="718EA614" w:rsidR="00655F47" w:rsidRDefault="00655F47" w:rsidP="00655F47">
      <w:pPr>
        <w:jc w:val="both"/>
        <w:rPr>
          <w:i/>
          <w:iCs/>
        </w:rPr>
      </w:pPr>
      <w:r w:rsidRPr="002752F4">
        <w:rPr>
          <w:b/>
          <w:bCs/>
          <w:i/>
          <w:iCs/>
          <w:u w:val="single"/>
        </w:rPr>
        <w:t xml:space="preserve">Proposal </w:t>
      </w:r>
      <w:r w:rsidR="0022013E" w:rsidRPr="002752F4">
        <w:rPr>
          <w:b/>
          <w:bCs/>
          <w:i/>
          <w:iCs/>
          <w:u w:val="single"/>
        </w:rPr>
        <w:t>1</w:t>
      </w:r>
      <w:r w:rsidRPr="002752F4">
        <w:rPr>
          <w:b/>
          <w:bCs/>
          <w:i/>
          <w:iCs/>
          <w:u w:val="single"/>
        </w:rPr>
        <w:t>:</w:t>
      </w:r>
      <w:r w:rsidRPr="002752F4">
        <w:rPr>
          <w:i/>
          <w:iCs/>
        </w:rPr>
        <w:t xml:space="preserve"> For near-field channel model study with direct path,</w:t>
      </w:r>
      <w:r>
        <w:rPr>
          <w:i/>
          <w:iCs/>
        </w:rPr>
        <w:t xml:space="preserve"> to model the </w:t>
      </w:r>
      <w:r w:rsidRPr="0022013E">
        <w:rPr>
          <w:i/>
          <w:iCs/>
        </w:rPr>
        <w:t>angular domain channel parameters</w:t>
      </w:r>
      <w:r w:rsidR="0022013E">
        <w:rPr>
          <w:i/>
          <w:iCs/>
        </w:rPr>
        <w:t>,</w:t>
      </w:r>
      <w:r w:rsidRPr="0022013E">
        <w:rPr>
          <w:i/>
          <w:iCs/>
        </w:rPr>
        <w:t xml:space="preserve"> Doppler </w:t>
      </w:r>
      <w:r w:rsidRPr="001D3275">
        <w:rPr>
          <w:i/>
          <w:iCs/>
        </w:rPr>
        <w:t>shift</w:t>
      </w:r>
      <w:r w:rsidR="0022013E" w:rsidRPr="001D3275">
        <w:rPr>
          <w:i/>
          <w:iCs/>
        </w:rPr>
        <w:t xml:space="preserve"> and delay</w:t>
      </w:r>
      <w:r w:rsidRPr="001D3275">
        <w:rPr>
          <w:i/>
          <w:iCs/>
        </w:rPr>
        <w:t xml:space="preserve"> for each</w:t>
      </w:r>
      <w:r w:rsidRPr="0022013E">
        <w:rPr>
          <w:i/>
          <w:iCs/>
        </w:rPr>
        <w:t xml:space="preserve"> pair of TRP antenna element and UE</w:t>
      </w:r>
      <w:r>
        <w:rPr>
          <w:i/>
          <w:iCs/>
        </w:rPr>
        <w:t xml:space="preserve"> antenna element.</w:t>
      </w:r>
    </w:p>
    <w:p w14:paraId="40ADC531" w14:textId="004F1352" w:rsidR="001D3275" w:rsidRDefault="00655F47" w:rsidP="001D3275">
      <w:pPr>
        <w:pStyle w:val="ListParagraph"/>
        <w:widowControl w:val="0"/>
        <w:numPr>
          <w:ilvl w:val="0"/>
          <w:numId w:val="48"/>
        </w:numPr>
        <w:tabs>
          <w:tab w:val="left" w:pos="1304"/>
          <w:tab w:val="left" w:pos="1440"/>
          <w:tab w:val="left" w:pos="2160"/>
        </w:tabs>
        <w:snapToGrid w:val="0"/>
        <w:ind w:left="720"/>
        <w:jc w:val="both"/>
      </w:pPr>
      <w:r w:rsidRPr="0022013E">
        <w:rPr>
          <w:rFonts w:ascii="Times New Roman" w:hAnsi="Times New Roman"/>
          <w:i/>
          <w:iCs/>
          <w:sz w:val="24"/>
          <w:szCs w:val="24"/>
        </w:rPr>
        <w:t>No changes on the parameter value</w:t>
      </w:r>
    </w:p>
    <w:p w14:paraId="7EB5FE57" w14:textId="77777777" w:rsidR="001D3275" w:rsidRDefault="001D3275" w:rsidP="00787534">
      <w:pPr>
        <w:jc w:val="both"/>
        <w:rPr>
          <w:noProof/>
        </w:rPr>
      </w:pPr>
    </w:p>
    <w:p w14:paraId="5A49D6C0" w14:textId="0E52519F" w:rsidR="000F5F05" w:rsidRDefault="00787534" w:rsidP="00787534">
      <w:pPr>
        <w:jc w:val="both"/>
        <w:rPr>
          <w:noProof/>
        </w:rPr>
      </w:pPr>
      <w:r>
        <w:rPr>
          <w:noProof/>
        </w:rPr>
        <w:t>Like in direct path, the phase in non-direct path needs to be separately considered for each pair of TRP antenna and UE antenna</w:t>
      </w:r>
      <w:r w:rsidR="000F5F05">
        <w:rPr>
          <w:noProof/>
        </w:rPr>
        <w:t xml:space="preserve">, depending on pair-wise AoA, AoD, ZoA and ZoD. Specfically, for TRP antenna element </w:t>
      </w:r>
      <w:r w:rsidR="000F5F05" w:rsidRPr="000F5F05">
        <w:rPr>
          <w:i/>
          <w:iCs/>
          <w:noProof/>
        </w:rPr>
        <w:t>s</w:t>
      </w:r>
      <w:r w:rsidR="000F5F05">
        <w:rPr>
          <w:noProof/>
        </w:rPr>
        <w:t xml:space="preserve"> and UE antenna element </w:t>
      </w:r>
      <w:r w:rsidR="000F5F05" w:rsidRPr="000F5F05">
        <w:rPr>
          <w:i/>
          <w:iCs/>
          <w:noProof/>
        </w:rPr>
        <w:t>u</w:t>
      </w:r>
      <w:r w:rsidR="000F5F05">
        <w:rPr>
          <w:noProof/>
        </w:rPr>
        <w:t xml:space="preserve">, the phase is given by </w:t>
      </w:r>
      <m:oMath>
        <m:r>
          <w:rPr>
            <w:rFonts w:ascii="Cambria Math" w:hAnsi="Cambria Math"/>
            <w:noProof/>
          </w:rPr>
          <m:t>exp</m:t>
        </m:r>
        <m:d>
          <m:dPr>
            <m:ctrlPr>
              <w:rPr>
                <w:rFonts w:ascii="Cambria Math" w:hAnsi="Cambria Math"/>
                <w:i/>
                <w:iCs/>
                <w:noProof/>
              </w:rPr>
            </m:ctrlPr>
          </m:dPr>
          <m:e>
            <m:r>
              <w:rPr>
                <w:rFonts w:ascii="Cambria Math" w:hAnsi="Cambria Math"/>
                <w:noProof/>
              </w:rPr>
              <m:t>j2π</m:t>
            </m:r>
            <m:f>
              <m:fPr>
                <m:ctrlPr>
                  <w:rPr>
                    <w:rFonts w:ascii="Cambria Math" w:hAnsi="Cambria Math"/>
                    <w:i/>
                    <w:iCs/>
                    <w:noProof/>
                  </w:rPr>
                </m:ctrlPr>
              </m:fPr>
              <m:num>
                <m:sSubSup>
                  <m:sSubSupPr>
                    <m:ctrlPr>
                      <w:rPr>
                        <w:rFonts w:ascii="Cambria Math" w:hAnsi="Cambria Math"/>
                        <w:i/>
                        <w:iCs/>
                        <w:noProof/>
                      </w:rPr>
                    </m:ctrlPr>
                  </m:sSubSupPr>
                  <m:e>
                    <m:acc>
                      <m:accPr>
                        <m:ctrlPr>
                          <w:rPr>
                            <w:rFonts w:ascii="Cambria Math" w:hAnsi="Cambria Math"/>
                            <w:i/>
                            <w:iCs/>
                            <w:noProof/>
                          </w:rPr>
                        </m:ctrlPr>
                      </m:accPr>
                      <m:e>
                        <m:r>
                          <w:rPr>
                            <w:rFonts w:ascii="Cambria Math" w:hAnsi="Cambria Math"/>
                            <w:noProof/>
                          </w:rPr>
                          <m:t>r</m:t>
                        </m:r>
                      </m:e>
                    </m:acc>
                  </m:e>
                  <m:sub>
                    <m:r>
                      <w:rPr>
                        <w:rFonts w:ascii="Cambria Math" w:hAnsi="Cambria Math"/>
                        <w:noProof/>
                      </w:rPr>
                      <m:t>rx, n,m,u,s</m:t>
                    </m:r>
                  </m:sub>
                  <m:sup>
                    <m:r>
                      <w:rPr>
                        <w:rFonts w:ascii="Cambria Math" w:hAnsi="Cambria Math"/>
                        <w:noProof/>
                      </w:rPr>
                      <m:t>T</m:t>
                    </m:r>
                  </m:sup>
                </m:sSubSup>
                <m:r>
                  <w:rPr>
                    <w:rFonts w:ascii="Cambria Math" w:hAnsi="Cambria Math"/>
                    <w:noProof/>
                  </w:rPr>
                  <m:t>⋅</m:t>
                </m:r>
                <m:sSub>
                  <m:sSubPr>
                    <m:ctrlPr>
                      <w:rPr>
                        <w:rFonts w:ascii="Cambria Math" w:hAnsi="Cambria Math"/>
                        <w:i/>
                        <w:noProof/>
                      </w:rPr>
                    </m:ctrlPr>
                  </m:sSubPr>
                  <m:e>
                    <m:acc>
                      <m:accPr>
                        <m:chr m:val="̅"/>
                        <m:ctrlPr>
                          <w:rPr>
                            <w:rFonts w:ascii="Cambria Math" w:hAnsi="Cambria Math"/>
                            <w:i/>
                            <w:noProof/>
                          </w:rPr>
                        </m:ctrlPr>
                      </m:accPr>
                      <m:e>
                        <m:r>
                          <w:rPr>
                            <w:rFonts w:ascii="Cambria Math" w:hAnsi="Cambria Math"/>
                            <w:noProof/>
                          </w:rPr>
                          <m:t>d</m:t>
                        </m:r>
                      </m:e>
                    </m:acc>
                  </m:e>
                  <m:sub>
                    <m:r>
                      <w:rPr>
                        <w:rFonts w:ascii="Cambria Math" w:hAnsi="Cambria Math"/>
                        <w:noProof/>
                      </w:rPr>
                      <m:t>rx,s</m:t>
                    </m:r>
                  </m:sub>
                </m:sSub>
              </m:num>
              <m:den>
                <m:sSub>
                  <m:sSubPr>
                    <m:ctrlPr>
                      <w:rPr>
                        <w:rFonts w:ascii="Cambria Math" w:hAnsi="Cambria Math"/>
                        <w:i/>
                        <w:iCs/>
                        <w:noProof/>
                      </w:rPr>
                    </m:ctrlPr>
                  </m:sSubPr>
                  <m:e>
                    <m:r>
                      <w:rPr>
                        <w:rFonts w:ascii="Cambria Math" w:hAnsi="Cambria Math"/>
                        <w:noProof/>
                      </w:rPr>
                      <m:t>λ</m:t>
                    </m:r>
                  </m:e>
                  <m:sub>
                    <m:r>
                      <w:rPr>
                        <w:rFonts w:ascii="Cambria Math" w:hAnsi="Cambria Math"/>
                        <w:noProof/>
                      </w:rPr>
                      <m:t>0</m:t>
                    </m:r>
                  </m:sub>
                </m:sSub>
              </m:den>
            </m:f>
          </m:e>
        </m:d>
        <m:r>
          <w:rPr>
            <w:rFonts w:ascii="Cambria Math" w:hAnsi="Cambria Math"/>
            <w:noProof/>
          </w:rPr>
          <m:t>⋅exp</m:t>
        </m:r>
        <m:d>
          <m:dPr>
            <m:ctrlPr>
              <w:rPr>
                <w:rFonts w:ascii="Cambria Math" w:hAnsi="Cambria Math"/>
                <w:i/>
                <w:iCs/>
                <w:noProof/>
              </w:rPr>
            </m:ctrlPr>
          </m:dPr>
          <m:e>
            <m:r>
              <w:rPr>
                <w:rFonts w:ascii="Cambria Math" w:hAnsi="Cambria Math"/>
                <w:noProof/>
              </w:rPr>
              <m:t>j2π</m:t>
            </m:r>
            <m:f>
              <m:fPr>
                <m:ctrlPr>
                  <w:rPr>
                    <w:rFonts w:ascii="Cambria Math" w:hAnsi="Cambria Math"/>
                    <w:i/>
                    <w:iCs/>
                    <w:noProof/>
                  </w:rPr>
                </m:ctrlPr>
              </m:fPr>
              <m:num>
                <m:sSubSup>
                  <m:sSubSupPr>
                    <m:ctrlPr>
                      <w:rPr>
                        <w:rFonts w:ascii="Cambria Math" w:hAnsi="Cambria Math"/>
                        <w:i/>
                        <w:iCs/>
                        <w:noProof/>
                      </w:rPr>
                    </m:ctrlPr>
                  </m:sSubSupPr>
                  <m:e>
                    <m:acc>
                      <m:accPr>
                        <m:ctrlPr>
                          <w:rPr>
                            <w:rFonts w:ascii="Cambria Math" w:hAnsi="Cambria Math"/>
                            <w:i/>
                            <w:iCs/>
                            <w:noProof/>
                          </w:rPr>
                        </m:ctrlPr>
                      </m:accPr>
                      <m:e>
                        <m:r>
                          <w:rPr>
                            <w:rFonts w:ascii="Cambria Math" w:hAnsi="Cambria Math"/>
                            <w:noProof/>
                          </w:rPr>
                          <m:t>r</m:t>
                        </m:r>
                      </m:e>
                    </m:acc>
                  </m:e>
                  <m:sub>
                    <m:r>
                      <w:rPr>
                        <w:rFonts w:ascii="Cambria Math" w:hAnsi="Cambria Math"/>
                        <w:noProof/>
                      </w:rPr>
                      <m:t>tx, n,m,u,s</m:t>
                    </m:r>
                  </m:sub>
                  <m:sup>
                    <m:r>
                      <w:rPr>
                        <w:rFonts w:ascii="Cambria Math" w:hAnsi="Cambria Math"/>
                        <w:noProof/>
                      </w:rPr>
                      <m:t>T</m:t>
                    </m:r>
                  </m:sup>
                </m:sSubSup>
                <m:r>
                  <w:rPr>
                    <w:rFonts w:ascii="Cambria Math" w:hAnsi="Cambria Math"/>
                    <w:noProof/>
                  </w:rPr>
                  <m:t>⋅</m:t>
                </m:r>
                <m:sSub>
                  <m:sSubPr>
                    <m:ctrlPr>
                      <w:rPr>
                        <w:rFonts w:ascii="Cambria Math" w:hAnsi="Cambria Math"/>
                        <w:i/>
                        <w:iCs/>
                        <w:noProof/>
                      </w:rPr>
                    </m:ctrlPr>
                  </m:sSubPr>
                  <m:e>
                    <m:acc>
                      <m:accPr>
                        <m:chr m:val="̅"/>
                        <m:ctrlPr>
                          <w:rPr>
                            <w:rFonts w:ascii="Cambria Math" w:hAnsi="Cambria Math"/>
                            <w:i/>
                            <w:iCs/>
                            <w:noProof/>
                          </w:rPr>
                        </m:ctrlPr>
                      </m:accPr>
                      <m:e>
                        <m:r>
                          <w:rPr>
                            <w:rFonts w:ascii="Cambria Math" w:hAnsi="Cambria Math"/>
                            <w:noProof/>
                          </w:rPr>
                          <m:t>d</m:t>
                        </m:r>
                      </m:e>
                    </m:acc>
                  </m:e>
                  <m:sub>
                    <m:r>
                      <w:rPr>
                        <w:rFonts w:ascii="Cambria Math" w:hAnsi="Cambria Math"/>
                        <w:noProof/>
                      </w:rPr>
                      <m:t>tx,u</m:t>
                    </m:r>
                  </m:sub>
                </m:sSub>
              </m:num>
              <m:den>
                <m:sSub>
                  <m:sSubPr>
                    <m:ctrlPr>
                      <w:rPr>
                        <w:rFonts w:ascii="Cambria Math" w:hAnsi="Cambria Math"/>
                        <w:i/>
                        <w:iCs/>
                        <w:noProof/>
                      </w:rPr>
                    </m:ctrlPr>
                  </m:sSubPr>
                  <m:e>
                    <m:r>
                      <w:rPr>
                        <w:rFonts w:ascii="Cambria Math" w:hAnsi="Cambria Math"/>
                        <w:noProof/>
                      </w:rPr>
                      <m:t>λ</m:t>
                    </m:r>
                  </m:e>
                  <m:sub>
                    <m:r>
                      <w:rPr>
                        <w:rFonts w:ascii="Cambria Math" w:hAnsi="Cambria Math"/>
                        <w:noProof/>
                      </w:rPr>
                      <m:t>0</m:t>
                    </m:r>
                  </m:sub>
                </m:sSub>
              </m:den>
            </m:f>
          </m:e>
        </m:d>
      </m:oMath>
      <w:r w:rsidR="000F5F05" w:rsidRPr="00CE0CA1">
        <w:rPr>
          <w:i/>
          <w:iCs/>
          <w:noProof/>
        </w:rPr>
        <w:t>, whe</w:t>
      </w:r>
      <w:r w:rsidR="000F5F05">
        <w:rPr>
          <w:i/>
          <w:iCs/>
          <w:noProof/>
        </w:rPr>
        <w:t>re</w:t>
      </w:r>
      <w:r w:rsidR="000F5F05" w:rsidRPr="00CE0CA1">
        <w:rPr>
          <w:noProof/>
        </w:rPr>
        <w:t xml:space="preserve"> </w:t>
      </w:r>
    </w:p>
    <w:p w14:paraId="38A7F1F5" w14:textId="75E307DD" w:rsidR="000F5F05" w:rsidRDefault="00000000" w:rsidP="000F5F05">
      <w:pPr>
        <w:jc w:val="center"/>
        <w:rPr>
          <w:iCs/>
          <w:noProof/>
        </w:rPr>
      </w:pPr>
      <m:oMath>
        <m:sSubSup>
          <m:sSubSupPr>
            <m:ctrlPr>
              <w:rPr>
                <w:rFonts w:ascii="Cambria Math" w:hAnsi="Cambria Math"/>
                <w:i/>
                <w:iCs/>
                <w:noProof/>
              </w:rPr>
            </m:ctrlPr>
          </m:sSubSupPr>
          <m:e>
            <m:acc>
              <m:accPr>
                <m:ctrlPr>
                  <w:rPr>
                    <w:rFonts w:ascii="Cambria Math" w:hAnsi="Cambria Math"/>
                    <w:i/>
                    <w:iCs/>
                    <w:noProof/>
                  </w:rPr>
                </m:ctrlPr>
              </m:accPr>
              <m:e>
                <m:r>
                  <w:rPr>
                    <w:rFonts w:ascii="Cambria Math" w:hAnsi="Cambria Math"/>
                    <w:noProof/>
                  </w:rPr>
                  <m:t>r</m:t>
                </m:r>
              </m:e>
            </m:acc>
          </m:e>
          <m:sub>
            <m:r>
              <w:rPr>
                <w:rFonts w:ascii="Cambria Math" w:hAnsi="Cambria Math"/>
                <w:noProof/>
              </w:rPr>
              <m:t>rx, n,m,u,s</m:t>
            </m:r>
          </m:sub>
          <m:sup>
            <m:r>
              <w:rPr>
                <w:rFonts w:ascii="Cambria Math" w:hAnsi="Cambria Math"/>
                <w:noProof/>
              </w:rPr>
              <m:t>T</m:t>
            </m:r>
          </m:sup>
        </m:sSubSup>
        <m:r>
          <w:rPr>
            <w:rFonts w:ascii="Cambria Math" w:hAnsi="Cambria Math"/>
            <w:noProof/>
          </w:rPr>
          <m:t>=</m:t>
        </m:r>
        <m:d>
          <m:dPr>
            <m:begChr m:val="["/>
            <m:endChr m:val="]"/>
            <m:ctrlPr>
              <w:rPr>
                <w:rFonts w:ascii="Cambria Math" w:hAnsi="Cambria Math"/>
                <w:i/>
                <w:iCs/>
                <w:noProof/>
              </w:rPr>
            </m:ctrlPr>
          </m:dPr>
          <m:e>
            <m:m>
              <m:mPr>
                <m:mcs>
                  <m:mc>
                    <m:mcPr>
                      <m:count m:val="1"/>
                      <m:mcJc m:val="center"/>
                    </m:mcPr>
                  </m:mc>
                </m:mcs>
                <m:ctrlPr>
                  <w:rPr>
                    <w:rFonts w:ascii="Cambria Math" w:hAnsi="Cambria Math"/>
                    <w:i/>
                    <w:iCs/>
                    <w:noProof/>
                  </w:rPr>
                </m:ctrlPr>
              </m:mPr>
              <m:mr>
                <m:e>
                  <m:r>
                    <w:rPr>
                      <w:rFonts w:ascii="Cambria Math" w:hAnsi="Cambria Math"/>
                      <w:noProof/>
                    </w:rPr>
                    <m:t>sin</m:t>
                  </m:r>
                  <m:sSub>
                    <m:sSubPr>
                      <m:ctrlPr>
                        <w:rPr>
                          <w:rFonts w:ascii="Cambria Math" w:hAnsi="Cambria Math"/>
                          <w:i/>
                          <w:iCs/>
                          <w:noProof/>
                        </w:rPr>
                      </m:ctrlPr>
                    </m:sSubPr>
                    <m:e>
                      <m:r>
                        <w:rPr>
                          <w:rFonts w:ascii="Cambria Math" w:hAnsi="Cambria Math"/>
                          <w:noProof/>
                        </w:rPr>
                        <m:t>θ</m:t>
                      </m:r>
                    </m:e>
                    <m:sub>
                      <m:r>
                        <w:rPr>
                          <w:rFonts w:ascii="Cambria Math" w:hAnsi="Cambria Math"/>
                          <w:noProof/>
                        </w:rPr>
                        <m:t>n,m,u, s, ZOA</m:t>
                      </m:r>
                    </m:sub>
                  </m:sSub>
                  <m:r>
                    <w:rPr>
                      <w:rFonts w:ascii="Cambria Math" w:hAnsi="Cambria Math"/>
                      <w:noProof/>
                    </w:rPr>
                    <m:t>⋅cos</m:t>
                  </m:r>
                  <m:sSub>
                    <m:sSubPr>
                      <m:ctrlPr>
                        <w:rPr>
                          <w:rFonts w:ascii="Cambria Math" w:hAnsi="Cambria Math"/>
                          <w:i/>
                          <w:iCs/>
                          <w:noProof/>
                        </w:rPr>
                      </m:ctrlPr>
                    </m:sSubPr>
                    <m:e>
                      <m:r>
                        <w:rPr>
                          <w:rFonts w:ascii="Cambria Math" w:hAnsi="Cambria Math"/>
                          <w:noProof/>
                        </w:rPr>
                        <m:t>ϕ</m:t>
                      </m:r>
                    </m:e>
                    <m:sub>
                      <m:sSub>
                        <m:sSubPr>
                          <m:ctrlPr>
                            <w:rPr>
                              <w:rFonts w:ascii="Cambria Math" w:hAnsi="Cambria Math"/>
                              <w:i/>
                              <w:iCs/>
                              <w:noProof/>
                            </w:rPr>
                          </m:ctrlPr>
                        </m:sSubPr>
                        <m:e>
                          <m:r>
                            <w:rPr>
                              <w:rFonts w:ascii="Cambria Math" w:hAnsi="Cambria Math"/>
                              <w:noProof/>
                            </w:rPr>
                            <m:t>θ</m:t>
                          </m:r>
                        </m:e>
                        <m:sub>
                          <m:r>
                            <w:rPr>
                              <w:rFonts w:ascii="Cambria Math" w:hAnsi="Cambria Math"/>
                              <w:noProof/>
                            </w:rPr>
                            <m:t>n,m,u, s, AOA</m:t>
                          </m:r>
                        </m:sub>
                      </m:sSub>
                    </m:sub>
                  </m:sSub>
                </m:e>
              </m:mr>
              <m:mr>
                <m:e>
                  <m:r>
                    <w:rPr>
                      <w:rFonts w:ascii="Cambria Math" w:hAnsi="Cambria Math"/>
                      <w:noProof/>
                    </w:rPr>
                    <m:t>sin</m:t>
                  </m:r>
                  <m:sSub>
                    <m:sSubPr>
                      <m:ctrlPr>
                        <w:rPr>
                          <w:rFonts w:ascii="Cambria Math" w:hAnsi="Cambria Math"/>
                          <w:i/>
                          <w:iCs/>
                          <w:noProof/>
                        </w:rPr>
                      </m:ctrlPr>
                    </m:sSubPr>
                    <m:e>
                      <m:r>
                        <w:rPr>
                          <w:rFonts w:ascii="Cambria Math" w:hAnsi="Cambria Math"/>
                          <w:noProof/>
                        </w:rPr>
                        <m:t>θ</m:t>
                      </m:r>
                    </m:e>
                    <m:sub>
                      <m:r>
                        <w:rPr>
                          <w:rFonts w:ascii="Cambria Math" w:hAnsi="Cambria Math"/>
                          <w:noProof/>
                        </w:rPr>
                        <m:t>n,m,u, s, ZOA</m:t>
                      </m:r>
                    </m:sub>
                  </m:sSub>
                  <m:r>
                    <w:rPr>
                      <w:rFonts w:ascii="Cambria Math" w:hAnsi="Cambria Math"/>
                      <w:noProof/>
                    </w:rPr>
                    <m:t>⋅sin</m:t>
                  </m:r>
                  <m:sSub>
                    <m:sSubPr>
                      <m:ctrlPr>
                        <w:rPr>
                          <w:rFonts w:ascii="Cambria Math" w:hAnsi="Cambria Math"/>
                          <w:i/>
                          <w:iCs/>
                          <w:noProof/>
                        </w:rPr>
                      </m:ctrlPr>
                    </m:sSubPr>
                    <m:e>
                      <m:r>
                        <w:rPr>
                          <w:rFonts w:ascii="Cambria Math" w:hAnsi="Cambria Math"/>
                          <w:noProof/>
                        </w:rPr>
                        <m:t>ϕ</m:t>
                      </m:r>
                    </m:e>
                    <m:sub>
                      <m:sSub>
                        <m:sSubPr>
                          <m:ctrlPr>
                            <w:rPr>
                              <w:rFonts w:ascii="Cambria Math" w:hAnsi="Cambria Math"/>
                              <w:i/>
                              <w:iCs/>
                              <w:noProof/>
                            </w:rPr>
                          </m:ctrlPr>
                        </m:sSubPr>
                        <m:e>
                          <m:r>
                            <w:rPr>
                              <w:rFonts w:ascii="Cambria Math" w:hAnsi="Cambria Math"/>
                              <w:noProof/>
                            </w:rPr>
                            <m:t>θ</m:t>
                          </m:r>
                        </m:e>
                        <m:sub>
                          <m:r>
                            <w:rPr>
                              <w:rFonts w:ascii="Cambria Math" w:hAnsi="Cambria Math"/>
                              <w:noProof/>
                            </w:rPr>
                            <m:t>n,m,u, s, AOA</m:t>
                          </m:r>
                        </m:sub>
                      </m:sSub>
                    </m:sub>
                  </m:sSub>
                </m:e>
              </m:mr>
              <m:mr>
                <m:e>
                  <m:r>
                    <w:rPr>
                      <w:rFonts w:ascii="Cambria Math" w:hAnsi="Cambria Math"/>
                      <w:noProof/>
                    </w:rPr>
                    <m:t>cos</m:t>
                  </m:r>
                  <m:sSub>
                    <m:sSubPr>
                      <m:ctrlPr>
                        <w:rPr>
                          <w:rFonts w:ascii="Cambria Math" w:hAnsi="Cambria Math"/>
                          <w:i/>
                          <w:iCs/>
                          <w:noProof/>
                        </w:rPr>
                      </m:ctrlPr>
                    </m:sSubPr>
                    <m:e>
                      <m:r>
                        <w:rPr>
                          <w:rFonts w:ascii="Cambria Math" w:hAnsi="Cambria Math"/>
                          <w:noProof/>
                        </w:rPr>
                        <m:t>θ</m:t>
                      </m:r>
                    </m:e>
                    <m:sub>
                      <m:r>
                        <w:rPr>
                          <w:rFonts w:ascii="Cambria Math" w:hAnsi="Cambria Math"/>
                          <w:noProof/>
                        </w:rPr>
                        <m:t>n,m,u, s, ZOA</m:t>
                      </m:r>
                    </m:sub>
                  </m:sSub>
                </m:e>
              </m:mr>
            </m:m>
          </m:e>
        </m:d>
      </m:oMath>
      <w:r w:rsidR="002752F4">
        <w:rPr>
          <w:iCs/>
          <w:noProof/>
        </w:rPr>
        <w:t>, and</w:t>
      </w:r>
    </w:p>
    <w:p w14:paraId="1B55FF6B" w14:textId="1938931F" w:rsidR="00787534" w:rsidRPr="000F5F05" w:rsidRDefault="00000000" w:rsidP="000F5F05">
      <w:pPr>
        <w:jc w:val="center"/>
        <w:rPr>
          <w:i/>
          <w:iCs/>
          <w:noProof/>
        </w:rPr>
      </w:pPr>
      <m:oMath>
        <m:sSubSup>
          <m:sSubSupPr>
            <m:ctrlPr>
              <w:rPr>
                <w:rFonts w:ascii="Cambria Math" w:hAnsi="Cambria Math"/>
                <w:i/>
                <w:iCs/>
                <w:noProof/>
              </w:rPr>
            </m:ctrlPr>
          </m:sSubSupPr>
          <m:e>
            <m:acc>
              <m:accPr>
                <m:ctrlPr>
                  <w:rPr>
                    <w:rFonts w:ascii="Cambria Math" w:hAnsi="Cambria Math"/>
                    <w:i/>
                    <w:iCs/>
                    <w:noProof/>
                  </w:rPr>
                </m:ctrlPr>
              </m:accPr>
              <m:e>
                <m:r>
                  <w:rPr>
                    <w:rFonts w:ascii="Cambria Math" w:hAnsi="Cambria Math"/>
                    <w:noProof/>
                  </w:rPr>
                  <m:t>r</m:t>
                </m:r>
              </m:e>
            </m:acc>
          </m:e>
          <m:sub>
            <m:r>
              <w:rPr>
                <w:rFonts w:ascii="Cambria Math" w:hAnsi="Cambria Math"/>
                <w:noProof/>
              </w:rPr>
              <m:t>tx, n,m,u,s</m:t>
            </m:r>
          </m:sub>
          <m:sup>
            <m:r>
              <w:rPr>
                <w:rFonts w:ascii="Cambria Math" w:hAnsi="Cambria Math"/>
                <w:noProof/>
              </w:rPr>
              <m:t>T</m:t>
            </m:r>
          </m:sup>
        </m:sSubSup>
        <m:r>
          <w:rPr>
            <w:rFonts w:ascii="Cambria Math" w:hAnsi="Cambria Math"/>
            <w:noProof/>
          </w:rPr>
          <m:t>=</m:t>
        </m:r>
        <m:d>
          <m:dPr>
            <m:begChr m:val="["/>
            <m:endChr m:val="]"/>
            <m:ctrlPr>
              <w:rPr>
                <w:rFonts w:ascii="Cambria Math" w:hAnsi="Cambria Math"/>
                <w:i/>
                <w:iCs/>
                <w:noProof/>
              </w:rPr>
            </m:ctrlPr>
          </m:dPr>
          <m:e>
            <m:m>
              <m:mPr>
                <m:mcs>
                  <m:mc>
                    <m:mcPr>
                      <m:count m:val="1"/>
                      <m:mcJc m:val="center"/>
                    </m:mcPr>
                  </m:mc>
                </m:mcs>
                <m:ctrlPr>
                  <w:rPr>
                    <w:rFonts w:ascii="Cambria Math" w:hAnsi="Cambria Math"/>
                    <w:i/>
                    <w:iCs/>
                    <w:noProof/>
                  </w:rPr>
                </m:ctrlPr>
              </m:mPr>
              <m:mr>
                <m:e>
                  <m:r>
                    <w:rPr>
                      <w:rFonts w:ascii="Cambria Math" w:hAnsi="Cambria Math"/>
                      <w:noProof/>
                    </w:rPr>
                    <m:t>sin</m:t>
                  </m:r>
                  <m:sSub>
                    <m:sSubPr>
                      <m:ctrlPr>
                        <w:rPr>
                          <w:rFonts w:ascii="Cambria Math" w:hAnsi="Cambria Math"/>
                          <w:i/>
                          <w:iCs/>
                          <w:noProof/>
                        </w:rPr>
                      </m:ctrlPr>
                    </m:sSubPr>
                    <m:e>
                      <m:r>
                        <w:rPr>
                          <w:rFonts w:ascii="Cambria Math" w:hAnsi="Cambria Math"/>
                          <w:noProof/>
                        </w:rPr>
                        <m:t>θ</m:t>
                      </m:r>
                    </m:e>
                    <m:sub>
                      <m:r>
                        <w:rPr>
                          <w:rFonts w:ascii="Cambria Math" w:hAnsi="Cambria Math"/>
                          <w:noProof/>
                        </w:rPr>
                        <m:t>n,m,u, s, ZOD</m:t>
                      </m:r>
                    </m:sub>
                  </m:sSub>
                  <m:r>
                    <w:rPr>
                      <w:rFonts w:ascii="Cambria Math" w:hAnsi="Cambria Math"/>
                      <w:noProof/>
                    </w:rPr>
                    <m:t>⋅cos</m:t>
                  </m:r>
                  <m:sSub>
                    <m:sSubPr>
                      <m:ctrlPr>
                        <w:rPr>
                          <w:rFonts w:ascii="Cambria Math" w:hAnsi="Cambria Math"/>
                          <w:i/>
                          <w:iCs/>
                          <w:noProof/>
                        </w:rPr>
                      </m:ctrlPr>
                    </m:sSubPr>
                    <m:e>
                      <m:r>
                        <w:rPr>
                          <w:rFonts w:ascii="Cambria Math" w:hAnsi="Cambria Math"/>
                          <w:noProof/>
                        </w:rPr>
                        <m:t>ϕ</m:t>
                      </m:r>
                    </m:e>
                    <m:sub>
                      <m:sSub>
                        <m:sSubPr>
                          <m:ctrlPr>
                            <w:rPr>
                              <w:rFonts w:ascii="Cambria Math" w:hAnsi="Cambria Math"/>
                              <w:i/>
                              <w:iCs/>
                              <w:noProof/>
                            </w:rPr>
                          </m:ctrlPr>
                        </m:sSubPr>
                        <m:e>
                          <m:r>
                            <w:rPr>
                              <w:rFonts w:ascii="Cambria Math" w:hAnsi="Cambria Math"/>
                              <w:noProof/>
                            </w:rPr>
                            <m:t>θ</m:t>
                          </m:r>
                        </m:e>
                        <m:sub>
                          <m:r>
                            <w:rPr>
                              <w:rFonts w:ascii="Cambria Math" w:hAnsi="Cambria Math"/>
                              <w:noProof/>
                            </w:rPr>
                            <m:t>n,m,u, s, AOD</m:t>
                          </m:r>
                        </m:sub>
                      </m:sSub>
                    </m:sub>
                  </m:sSub>
                </m:e>
              </m:mr>
              <m:mr>
                <m:e>
                  <m:r>
                    <w:rPr>
                      <w:rFonts w:ascii="Cambria Math" w:hAnsi="Cambria Math"/>
                      <w:noProof/>
                    </w:rPr>
                    <m:t>sin</m:t>
                  </m:r>
                  <m:sSub>
                    <m:sSubPr>
                      <m:ctrlPr>
                        <w:rPr>
                          <w:rFonts w:ascii="Cambria Math" w:hAnsi="Cambria Math"/>
                          <w:i/>
                          <w:iCs/>
                          <w:noProof/>
                        </w:rPr>
                      </m:ctrlPr>
                    </m:sSubPr>
                    <m:e>
                      <m:r>
                        <w:rPr>
                          <w:rFonts w:ascii="Cambria Math" w:hAnsi="Cambria Math"/>
                          <w:noProof/>
                        </w:rPr>
                        <m:t>θ</m:t>
                      </m:r>
                    </m:e>
                    <m:sub>
                      <m:r>
                        <w:rPr>
                          <w:rFonts w:ascii="Cambria Math" w:hAnsi="Cambria Math"/>
                          <w:noProof/>
                        </w:rPr>
                        <m:t>n,m,u, s, ZOD</m:t>
                      </m:r>
                    </m:sub>
                  </m:sSub>
                  <m:r>
                    <w:rPr>
                      <w:rFonts w:ascii="Cambria Math" w:hAnsi="Cambria Math"/>
                      <w:noProof/>
                    </w:rPr>
                    <m:t>⋅sin</m:t>
                  </m:r>
                  <m:sSub>
                    <m:sSubPr>
                      <m:ctrlPr>
                        <w:rPr>
                          <w:rFonts w:ascii="Cambria Math" w:hAnsi="Cambria Math"/>
                          <w:i/>
                          <w:iCs/>
                          <w:noProof/>
                        </w:rPr>
                      </m:ctrlPr>
                    </m:sSubPr>
                    <m:e>
                      <m:r>
                        <w:rPr>
                          <w:rFonts w:ascii="Cambria Math" w:hAnsi="Cambria Math"/>
                          <w:noProof/>
                        </w:rPr>
                        <m:t>ϕ</m:t>
                      </m:r>
                    </m:e>
                    <m:sub>
                      <m:sSub>
                        <m:sSubPr>
                          <m:ctrlPr>
                            <w:rPr>
                              <w:rFonts w:ascii="Cambria Math" w:hAnsi="Cambria Math"/>
                              <w:i/>
                              <w:iCs/>
                              <w:noProof/>
                            </w:rPr>
                          </m:ctrlPr>
                        </m:sSubPr>
                        <m:e>
                          <m:r>
                            <w:rPr>
                              <w:rFonts w:ascii="Cambria Math" w:hAnsi="Cambria Math"/>
                              <w:noProof/>
                            </w:rPr>
                            <m:t>θ</m:t>
                          </m:r>
                        </m:e>
                        <m:sub>
                          <m:r>
                            <w:rPr>
                              <w:rFonts w:ascii="Cambria Math" w:hAnsi="Cambria Math"/>
                              <w:noProof/>
                            </w:rPr>
                            <m:t>n,m,u, s, AOD</m:t>
                          </m:r>
                        </m:sub>
                      </m:sSub>
                    </m:sub>
                  </m:sSub>
                </m:e>
              </m:mr>
              <m:mr>
                <m:e>
                  <m:r>
                    <w:rPr>
                      <w:rFonts w:ascii="Cambria Math" w:hAnsi="Cambria Math"/>
                      <w:noProof/>
                    </w:rPr>
                    <m:t>cos</m:t>
                  </m:r>
                  <m:sSub>
                    <m:sSubPr>
                      <m:ctrlPr>
                        <w:rPr>
                          <w:rFonts w:ascii="Cambria Math" w:hAnsi="Cambria Math"/>
                          <w:i/>
                          <w:iCs/>
                          <w:noProof/>
                        </w:rPr>
                      </m:ctrlPr>
                    </m:sSubPr>
                    <m:e>
                      <m:r>
                        <w:rPr>
                          <w:rFonts w:ascii="Cambria Math" w:hAnsi="Cambria Math"/>
                          <w:noProof/>
                        </w:rPr>
                        <m:t>θ</m:t>
                      </m:r>
                    </m:e>
                    <m:sub>
                      <m:r>
                        <w:rPr>
                          <w:rFonts w:ascii="Cambria Math" w:hAnsi="Cambria Math"/>
                          <w:noProof/>
                        </w:rPr>
                        <m:t>n,m,u, s, ZOD</m:t>
                      </m:r>
                    </m:sub>
                  </m:sSub>
                </m:e>
              </m:mr>
            </m:m>
          </m:e>
        </m:d>
      </m:oMath>
      <w:r w:rsidR="000F5F05">
        <w:rPr>
          <w:iCs/>
          <w:noProof/>
        </w:rPr>
        <w:t>.</w:t>
      </w:r>
    </w:p>
    <w:p w14:paraId="47E81444" w14:textId="77777777" w:rsidR="00DE4DC4" w:rsidRDefault="00DE4DC4" w:rsidP="00787534">
      <w:pPr>
        <w:jc w:val="both"/>
        <w:rPr>
          <w:noProof/>
        </w:rPr>
      </w:pPr>
    </w:p>
    <w:p w14:paraId="6EE62923" w14:textId="77777777" w:rsidR="002752F4" w:rsidRDefault="00DE4DC4" w:rsidP="002752F4">
      <w:pPr>
        <w:jc w:val="both"/>
        <w:rPr>
          <w:i/>
          <w:iCs/>
          <w:noProof/>
        </w:rPr>
      </w:pPr>
      <w:r w:rsidRPr="00D906A0">
        <w:rPr>
          <w:b/>
          <w:bCs/>
          <w:i/>
          <w:iCs/>
          <w:u w:val="single"/>
        </w:rPr>
        <w:t xml:space="preserve">Proposal </w:t>
      </w:r>
      <w:r>
        <w:rPr>
          <w:b/>
          <w:bCs/>
          <w:i/>
          <w:iCs/>
          <w:u w:val="single"/>
        </w:rPr>
        <w:t>2</w:t>
      </w:r>
      <w:r w:rsidRPr="00D906A0">
        <w:rPr>
          <w:b/>
          <w:bCs/>
          <w:i/>
          <w:iCs/>
          <w:u w:val="single"/>
        </w:rPr>
        <w:t>:</w:t>
      </w:r>
      <w:r w:rsidRPr="00D906A0">
        <w:rPr>
          <w:i/>
          <w:iCs/>
        </w:rPr>
        <w:t xml:space="preserve"> </w:t>
      </w:r>
      <w:r>
        <w:rPr>
          <w:i/>
          <w:iCs/>
        </w:rPr>
        <w:t xml:space="preserve">For near-field channel model study with non-direct path, the phase between TRP antenna element </w:t>
      </w:r>
      <w:r w:rsidR="000F5F05">
        <w:rPr>
          <w:i/>
          <w:iCs/>
        </w:rPr>
        <w:t>s</w:t>
      </w:r>
      <w:r>
        <w:rPr>
          <w:i/>
          <w:iCs/>
        </w:rPr>
        <w:t xml:space="preserve"> and UE </w:t>
      </w:r>
      <w:r w:rsidRPr="00DE4DC4">
        <w:rPr>
          <w:i/>
          <w:iCs/>
        </w:rPr>
        <w:t>antenna element</w:t>
      </w:r>
      <w:r w:rsidR="000F5F05">
        <w:rPr>
          <w:i/>
          <w:iCs/>
        </w:rPr>
        <w:t xml:space="preserve"> u</w:t>
      </w:r>
      <w:r w:rsidRPr="00DE4DC4">
        <w:rPr>
          <w:i/>
          <w:iCs/>
        </w:rPr>
        <w:t xml:space="preserve"> is given </w:t>
      </w:r>
      <w:r w:rsidRPr="00CE0CA1">
        <w:rPr>
          <w:i/>
          <w:iCs/>
        </w:rPr>
        <w:t xml:space="preserve">by </w:t>
      </w:r>
      <m:oMath>
        <m:r>
          <w:rPr>
            <w:rFonts w:ascii="Cambria Math" w:hAnsi="Cambria Math"/>
            <w:noProof/>
          </w:rPr>
          <m:t>exp</m:t>
        </m:r>
        <m:d>
          <m:dPr>
            <m:ctrlPr>
              <w:rPr>
                <w:rFonts w:ascii="Cambria Math" w:hAnsi="Cambria Math"/>
                <w:i/>
                <w:iCs/>
                <w:noProof/>
              </w:rPr>
            </m:ctrlPr>
          </m:dPr>
          <m:e>
            <m:r>
              <w:rPr>
                <w:rFonts w:ascii="Cambria Math" w:hAnsi="Cambria Math"/>
                <w:noProof/>
              </w:rPr>
              <m:t>j2π</m:t>
            </m:r>
            <m:f>
              <m:fPr>
                <m:ctrlPr>
                  <w:rPr>
                    <w:rFonts w:ascii="Cambria Math" w:hAnsi="Cambria Math"/>
                    <w:i/>
                    <w:iCs/>
                    <w:noProof/>
                  </w:rPr>
                </m:ctrlPr>
              </m:fPr>
              <m:num>
                <m:sSubSup>
                  <m:sSubSupPr>
                    <m:ctrlPr>
                      <w:rPr>
                        <w:rFonts w:ascii="Cambria Math" w:hAnsi="Cambria Math"/>
                        <w:i/>
                        <w:iCs/>
                        <w:noProof/>
                      </w:rPr>
                    </m:ctrlPr>
                  </m:sSubSupPr>
                  <m:e>
                    <m:acc>
                      <m:accPr>
                        <m:ctrlPr>
                          <w:rPr>
                            <w:rFonts w:ascii="Cambria Math" w:hAnsi="Cambria Math"/>
                            <w:i/>
                            <w:iCs/>
                            <w:noProof/>
                          </w:rPr>
                        </m:ctrlPr>
                      </m:accPr>
                      <m:e>
                        <m:r>
                          <w:rPr>
                            <w:rFonts w:ascii="Cambria Math" w:hAnsi="Cambria Math"/>
                            <w:noProof/>
                          </w:rPr>
                          <m:t>r</m:t>
                        </m:r>
                      </m:e>
                    </m:acc>
                  </m:e>
                  <m:sub>
                    <m:r>
                      <w:rPr>
                        <w:rFonts w:ascii="Cambria Math" w:hAnsi="Cambria Math"/>
                        <w:noProof/>
                      </w:rPr>
                      <m:t>rx, n,m,u,s</m:t>
                    </m:r>
                  </m:sub>
                  <m:sup>
                    <m:r>
                      <w:rPr>
                        <w:rFonts w:ascii="Cambria Math" w:hAnsi="Cambria Math"/>
                        <w:noProof/>
                      </w:rPr>
                      <m:t>T</m:t>
                    </m:r>
                  </m:sup>
                </m:sSubSup>
                <m:r>
                  <w:rPr>
                    <w:rFonts w:ascii="Cambria Math" w:hAnsi="Cambria Math"/>
                    <w:noProof/>
                  </w:rPr>
                  <m:t>⋅</m:t>
                </m:r>
                <m:sSub>
                  <m:sSubPr>
                    <m:ctrlPr>
                      <w:rPr>
                        <w:rFonts w:ascii="Cambria Math" w:hAnsi="Cambria Math"/>
                        <w:i/>
                        <w:noProof/>
                      </w:rPr>
                    </m:ctrlPr>
                  </m:sSubPr>
                  <m:e>
                    <m:acc>
                      <m:accPr>
                        <m:chr m:val="̅"/>
                        <m:ctrlPr>
                          <w:rPr>
                            <w:rFonts w:ascii="Cambria Math" w:hAnsi="Cambria Math"/>
                            <w:i/>
                            <w:noProof/>
                          </w:rPr>
                        </m:ctrlPr>
                      </m:accPr>
                      <m:e>
                        <m:r>
                          <w:rPr>
                            <w:rFonts w:ascii="Cambria Math" w:hAnsi="Cambria Math"/>
                            <w:noProof/>
                          </w:rPr>
                          <m:t>d</m:t>
                        </m:r>
                      </m:e>
                    </m:acc>
                  </m:e>
                  <m:sub>
                    <m:r>
                      <w:rPr>
                        <w:rFonts w:ascii="Cambria Math" w:hAnsi="Cambria Math"/>
                        <w:noProof/>
                      </w:rPr>
                      <m:t>rx,s</m:t>
                    </m:r>
                  </m:sub>
                </m:sSub>
              </m:num>
              <m:den>
                <m:sSub>
                  <m:sSubPr>
                    <m:ctrlPr>
                      <w:rPr>
                        <w:rFonts w:ascii="Cambria Math" w:hAnsi="Cambria Math"/>
                        <w:i/>
                        <w:iCs/>
                        <w:noProof/>
                      </w:rPr>
                    </m:ctrlPr>
                  </m:sSubPr>
                  <m:e>
                    <m:r>
                      <w:rPr>
                        <w:rFonts w:ascii="Cambria Math" w:hAnsi="Cambria Math"/>
                        <w:noProof/>
                      </w:rPr>
                      <m:t>λ</m:t>
                    </m:r>
                  </m:e>
                  <m:sub>
                    <m:r>
                      <w:rPr>
                        <w:rFonts w:ascii="Cambria Math" w:hAnsi="Cambria Math"/>
                        <w:noProof/>
                      </w:rPr>
                      <m:t>0</m:t>
                    </m:r>
                  </m:sub>
                </m:sSub>
              </m:den>
            </m:f>
          </m:e>
        </m:d>
        <m:r>
          <w:rPr>
            <w:rFonts w:ascii="Cambria Math" w:hAnsi="Cambria Math"/>
            <w:noProof/>
          </w:rPr>
          <m:t>⋅exp</m:t>
        </m:r>
        <m:d>
          <m:dPr>
            <m:ctrlPr>
              <w:rPr>
                <w:rFonts w:ascii="Cambria Math" w:hAnsi="Cambria Math"/>
                <w:i/>
                <w:iCs/>
                <w:noProof/>
              </w:rPr>
            </m:ctrlPr>
          </m:dPr>
          <m:e>
            <m:r>
              <w:rPr>
                <w:rFonts w:ascii="Cambria Math" w:hAnsi="Cambria Math"/>
                <w:noProof/>
              </w:rPr>
              <m:t>j2π</m:t>
            </m:r>
            <m:f>
              <m:fPr>
                <m:ctrlPr>
                  <w:rPr>
                    <w:rFonts w:ascii="Cambria Math" w:hAnsi="Cambria Math"/>
                    <w:i/>
                    <w:iCs/>
                    <w:noProof/>
                  </w:rPr>
                </m:ctrlPr>
              </m:fPr>
              <m:num>
                <m:sSubSup>
                  <m:sSubSupPr>
                    <m:ctrlPr>
                      <w:rPr>
                        <w:rFonts w:ascii="Cambria Math" w:hAnsi="Cambria Math"/>
                        <w:i/>
                        <w:iCs/>
                        <w:noProof/>
                      </w:rPr>
                    </m:ctrlPr>
                  </m:sSubSupPr>
                  <m:e>
                    <m:acc>
                      <m:accPr>
                        <m:ctrlPr>
                          <w:rPr>
                            <w:rFonts w:ascii="Cambria Math" w:hAnsi="Cambria Math"/>
                            <w:i/>
                            <w:iCs/>
                            <w:noProof/>
                          </w:rPr>
                        </m:ctrlPr>
                      </m:accPr>
                      <m:e>
                        <m:r>
                          <w:rPr>
                            <w:rFonts w:ascii="Cambria Math" w:hAnsi="Cambria Math"/>
                            <w:noProof/>
                          </w:rPr>
                          <m:t>r</m:t>
                        </m:r>
                      </m:e>
                    </m:acc>
                  </m:e>
                  <m:sub>
                    <m:r>
                      <w:rPr>
                        <w:rFonts w:ascii="Cambria Math" w:hAnsi="Cambria Math"/>
                        <w:noProof/>
                      </w:rPr>
                      <m:t>tx, n,m,u,s</m:t>
                    </m:r>
                  </m:sub>
                  <m:sup>
                    <m:r>
                      <w:rPr>
                        <w:rFonts w:ascii="Cambria Math" w:hAnsi="Cambria Math"/>
                        <w:noProof/>
                      </w:rPr>
                      <m:t>T</m:t>
                    </m:r>
                  </m:sup>
                </m:sSubSup>
                <m:r>
                  <w:rPr>
                    <w:rFonts w:ascii="Cambria Math" w:hAnsi="Cambria Math"/>
                    <w:noProof/>
                  </w:rPr>
                  <m:t>⋅</m:t>
                </m:r>
                <m:sSub>
                  <m:sSubPr>
                    <m:ctrlPr>
                      <w:rPr>
                        <w:rFonts w:ascii="Cambria Math" w:hAnsi="Cambria Math"/>
                        <w:i/>
                        <w:iCs/>
                        <w:noProof/>
                      </w:rPr>
                    </m:ctrlPr>
                  </m:sSubPr>
                  <m:e>
                    <m:acc>
                      <m:accPr>
                        <m:chr m:val="̅"/>
                        <m:ctrlPr>
                          <w:rPr>
                            <w:rFonts w:ascii="Cambria Math" w:hAnsi="Cambria Math"/>
                            <w:i/>
                            <w:iCs/>
                            <w:noProof/>
                          </w:rPr>
                        </m:ctrlPr>
                      </m:accPr>
                      <m:e>
                        <m:r>
                          <w:rPr>
                            <w:rFonts w:ascii="Cambria Math" w:hAnsi="Cambria Math"/>
                            <w:noProof/>
                          </w:rPr>
                          <m:t>d</m:t>
                        </m:r>
                      </m:e>
                    </m:acc>
                  </m:e>
                  <m:sub>
                    <m:r>
                      <w:rPr>
                        <w:rFonts w:ascii="Cambria Math" w:hAnsi="Cambria Math"/>
                        <w:noProof/>
                      </w:rPr>
                      <m:t>tx,u</m:t>
                    </m:r>
                  </m:sub>
                </m:sSub>
              </m:num>
              <m:den>
                <m:sSub>
                  <m:sSubPr>
                    <m:ctrlPr>
                      <w:rPr>
                        <w:rFonts w:ascii="Cambria Math" w:hAnsi="Cambria Math"/>
                        <w:i/>
                        <w:iCs/>
                        <w:noProof/>
                      </w:rPr>
                    </m:ctrlPr>
                  </m:sSubPr>
                  <m:e>
                    <m:r>
                      <w:rPr>
                        <w:rFonts w:ascii="Cambria Math" w:hAnsi="Cambria Math"/>
                        <w:noProof/>
                      </w:rPr>
                      <m:t>λ</m:t>
                    </m:r>
                  </m:e>
                  <m:sub>
                    <m:r>
                      <w:rPr>
                        <w:rFonts w:ascii="Cambria Math" w:hAnsi="Cambria Math"/>
                        <w:noProof/>
                      </w:rPr>
                      <m:t>0</m:t>
                    </m:r>
                  </m:sub>
                </m:sSub>
              </m:den>
            </m:f>
          </m:e>
        </m:d>
      </m:oMath>
      <w:r w:rsidRPr="00CE0CA1">
        <w:rPr>
          <w:i/>
          <w:iCs/>
          <w:noProof/>
        </w:rPr>
        <w:t>, where</w:t>
      </w:r>
    </w:p>
    <w:p w14:paraId="7D264BEE" w14:textId="0EABC661" w:rsidR="002752F4" w:rsidRDefault="00DE4DC4" w:rsidP="002752F4">
      <w:pPr>
        <w:jc w:val="center"/>
        <w:rPr>
          <w:iCs/>
          <w:noProof/>
        </w:rPr>
      </w:pPr>
      <w:r w:rsidRPr="00CE0CA1">
        <w:rPr>
          <w:noProof/>
        </w:rPr>
        <w:lastRenderedPageBreak/>
        <w:t xml:space="preserve"> </w:t>
      </w:r>
      <m:oMath>
        <m:sSubSup>
          <m:sSubSupPr>
            <m:ctrlPr>
              <w:rPr>
                <w:rFonts w:ascii="Cambria Math" w:hAnsi="Cambria Math"/>
                <w:i/>
                <w:iCs/>
                <w:noProof/>
              </w:rPr>
            </m:ctrlPr>
          </m:sSubSupPr>
          <m:e>
            <m:acc>
              <m:accPr>
                <m:ctrlPr>
                  <w:rPr>
                    <w:rFonts w:ascii="Cambria Math" w:hAnsi="Cambria Math"/>
                    <w:i/>
                    <w:iCs/>
                    <w:noProof/>
                  </w:rPr>
                </m:ctrlPr>
              </m:accPr>
              <m:e>
                <m:r>
                  <w:rPr>
                    <w:rFonts w:ascii="Cambria Math" w:hAnsi="Cambria Math"/>
                    <w:noProof/>
                  </w:rPr>
                  <m:t>r</m:t>
                </m:r>
              </m:e>
            </m:acc>
          </m:e>
          <m:sub>
            <m:r>
              <w:rPr>
                <w:rFonts w:ascii="Cambria Math" w:hAnsi="Cambria Math"/>
                <w:noProof/>
              </w:rPr>
              <m:t>rx, n,m,u,s</m:t>
            </m:r>
          </m:sub>
          <m:sup>
            <m:r>
              <w:rPr>
                <w:rFonts w:ascii="Cambria Math" w:hAnsi="Cambria Math"/>
                <w:noProof/>
              </w:rPr>
              <m:t>T</m:t>
            </m:r>
          </m:sup>
        </m:sSubSup>
        <m:r>
          <w:rPr>
            <w:rFonts w:ascii="Cambria Math" w:hAnsi="Cambria Math"/>
            <w:noProof/>
          </w:rPr>
          <m:t>=</m:t>
        </m:r>
        <m:d>
          <m:dPr>
            <m:begChr m:val="["/>
            <m:endChr m:val="]"/>
            <m:ctrlPr>
              <w:rPr>
                <w:rFonts w:ascii="Cambria Math" w:hAnsi="Cambria Math"/>
                <w:i/>
                <w:iCs/>
                <w:noProof/>
              </w:rPr>
            </m:ctrlPr>
          </m:dPr>
          <m:e>
            <m:m>
              <m:mPr>
                <m:mcs>
                  <m:mc>
                    <m:mcPr>
                      <m:count m:val="1"/>
                      <m:mcJc m:val="center"/>
                    </m:mcPr>
                  </m:mc>
                </m:mcs>
                <m:ctrlPr>
                  <w:rPr>
                    <w:rFonts w:ascii="Cambria Math" w:hAnsi="Cambria Math"/>
                    <w:i/>
                    <w:iCs/>
                    <w:noProof/>
                  </w:rPr>
                </m:ctrlPr>
              </m:mPr>
              <m:mr>
                <m:e>
                  <m:r>
                    <w:rPr>
                      <w:rFonts w:ascii="Cambria Math" w:hAnsi="Cambria Math"/>
                      <w:noProof/>
                    </w:rPr>
                    <m:t>sin</m:t>
                  </m:r>
                  <m:sSub>
                    <m:sSubPr>
                      <m:ctrlPr>
                        <w:rPr>
                          <w:rFonts w:ascii="Cambria Math" w:hAnsi="Cambria Math"/>
                          <w:i/>
                          <w:iCs/>
                          <w:noProof/>
                        </w:rPr>
                      </m:ctrlPr>
                    </m:sSubPr>
                    <m:e>
                      <m:r>
                        <w:rPr>
                          <w:rFonts w:ascii="Cambria Math" w:hAnsi="Cambria Math"/>
                          <w:noProof/>
                        </w:rPr>
                        <m:t>θ</m:t>
                      </m:r>
                    </m:e>
                    <m:sub>
                      <m:r>
                        <w:rPr>
                          <w:rFonts w:ascii="Cambria Math" w:hAnsi="Cambria Math"/>
                          <w:noProof/>
                        </w:rPr>
                        <m:t>n,m,u, s, ZOA</m:t>
                      </m:r>
                    </m:sub>
                  </m:sSub>
                  <m:r>
                    <w:rPr>
                      <w:rFonts w:ascii="Cambria Math" w:hAnsi="Cambria Math"/>
                      <w:noProof/>
                    </w:rPr>
                    <m:t>⋅cos</m:t>
                  </m:r>
                  <m:sSub>
                    <m:sSubPr>
                      <m:ctrlPr>
                        <w:rPr>
                          <w:rFonts w:ascii="Cambria Math" w:hAnsi="Cambria Math"/>
                          <w:i/>
                          <w:iCs/>
                          <w:noProof/>
                        </w:rPr>
                      </m:ctrlPr>
                    </m:sSubPr>
                    <m:e>
                      <m:r>
                        <w:rPr>
                          <w:rFonts w:ascii="Cambria Math" w:hAnsi="Cambria Math"/>
                          <w:noProof/>
                        </w:rPr>
                        <m:t>ϕ</m:t>
                      </m:r>
                    </m:e>
                    <m:sub>
                      <m:sSub>
                        <m:sSubPr>
                          <m:ctrlPr>
                            <w:rPr>
                              <w:rFonts w:ascii="Cambria Math" w:hAnsi="Cambria Math"/>
                              <w:i/>
                              <w:iCs/>
                              <w:noProof/>
                            </w:rPr>
                          </m:ctrlPr>
                        </m:sSubPr>
                        <m:e>
                          <m:r>
                            <w:rPr>
                              <w:rFonts w:ascii="Cambria Math" w:hAnsi="Cambria Math"/>
                              <w:noProof/>
                            </w:rPr>
                            <m:t>θ</m:t>
                          </m:r>
                        </m:e>
                        <m:sub>
                          <m:r>
                            <w:rPr>
                              <w:rFonts w:ascii="Cambria Math" w:hAnsi="Cambria Math"/>
                              <w:noProof/>
                            </w:rPr>
                            <m:t>n,m,u, s, AOA</m:t>
                          </m:r>
                        </m:sub>
                      </m:sSub>
                    </m:sub>
                  </m:sSub>
                </m:e>
              </m:mr>
              <m:mr>
                <m:e>
                  <m:r>
                    <w:rPr>
                      <w:rFonts w:ascii="Cambria Math" w:hAnsi="Cambria Math"/>
                      <w:noProof/>
                    </w:rPr>
                    <m:t>sin</m:t>
                  </m:r>
                  <m:sSub>
                    <m:sSubPr>
                      <m:ctrlPr>
                        <w:rPr>
                          <w:rFonts w:ascii="Cambria Math" w:hAnsi="Cambria Math"/>
                          <w:i/>
                          <w:iCs/>
                          <w:noProof/>
                        </w:rPr>
                      </m:ctrlPr>
                    </m:sSubPr>
                    <m:e>
                      <m:r>
                        <w:rPr>
                          <w:rFonts w:ascii="Cambria Math" w:hAnsi="Cambria Math"/>
                          <w:noProof/>
                        </w:rPr>
                        <m:t>θ</m:t>
                      </m:r>
                    </m:e>
                    <m:sub>
                      <m:r>
                        <w:rPr>
                          <w:rFonts w:ascii="Cambria Math" w:hAnsi="Cambria Math"/>
                          <w:noProof/>
                        </w:rPr>
                        <m:t>n,m,u, s, ZOA</m:t>
                      </m:r>
                    </m:sub>
                  </m:sSub>
                  <m:r>
                    <w:rPr>
                      <w:rFonts w:ascii="Cambria Math" w:hAnsi="Cambria Math"/>
                      <w:noProof/>
                    </w:rPr>
                    <m:t>⋅sin</m:t>
                  </m:r>
                  <m:sSub>
                    <m:sSubPr>
                      <m:ctrlPr>
                        <w:rPr>
                          <w:rFonts w:ascii="Cambria Math" w:hAnsi="Cambria Math"/>
                          <w:i/>
                          <w:iCs/>
                          <w:noProof/>
                        </w:rPr>
                      </m:ctrlPr>
                    </m:sSubPr>
                    <m:e>
                      <m:r>
                        <w:rPr>
                          <w:rFonts w:ascii="Cambria Math" w:hAnsi="Cambria Math"/>
                          <w:noProof/>
                        </w:rPr>
                        <m:t>ϕ</m:t>
                      </m:r>
                    </m:e>
                    <m:sub>
                      <m:sSub>
                        <m:sSubPr>
                          <m:ctrlPr>
                            <w:rPr>
                              <w:rFonts w:ascii="Cambria Math" w:hAnsi="Cambria Math"/>
                              <w:i/>
                              <w:iCs/>
                              <w:noProof/>
                            </w:rPr>
                          </m:ctrlPr>
                        </m:sSubPr>
                        <m:e>
                          <m:r>
                            <w:rPr>
                              <w:rFonts w:ascii="Cambria Math" w:hAnsi="Cambria Math"/>
                              <w:noProof/>
                            </w:rPr>
                            <m:t>θ</m:t>
                          </m:r>
                        </m:e>
                        <m:sub>
                          <m:r>
                            <w:rPr>
                              <w:rFonts w:ascii="Cambria Math" w:hAnsi="Cambria Math"/>
                              <w:noProof/>
                            </w:rPr>
                            <m:t>n,m,u, s, AOA</m:t>
                          </m:r>
                        </m:sub>
                      </m:sSub>
                    </m:sub>
                  </m:sSub>
                </m:e>
              </m:mr>
              <m:mr>
                <m:e>
                  <m:r>
                    <w:rPr>
                      <w:rFonts w:ascii="Cambria Math" w:hAnsi="Cambria Math"/>
                      <w:noProof/>
                    </w:rPr>
                    <m:t>cos</m:t>
                  </m:r>
                  <m:sSub>
                    <m:sSubPr>
                      <m:ctrlPr>
                        <w:rPr>
                          <w:rFonts w:ascii="Cambria Math" w:hAnsi="Cambria Math"/>
                          <w:i/>
                          <w:iCs/>
                          <w:noProof/>
                        </w:rPr>
                      </m:ctrlPr>
                    </m:sSubPr>
                    <m:e>
                      <m:r>
                        <w:rPr>
                          <w:rFonts w:ascii="Cambria Math" w:hAnsi="Cambria Math"/>
                          <w:noProof/>
                        </w:rPr>
                        <m:t>θ</m:t>
                      </m:r>
                    </m:e>
                    <m:sub>
                      <m:r>
                        <w:rPr>
                          <w:rFonts w:ascii="Cambria Math" w:hAnsi="Cambria Math"/>
                          <w:noProof/>
                        </w:rPr>
                        <m:t>n,m,u, s, ZOA</m:t>
                      </m:r>
                    </m:sub>
                  </m:sSub>
                </m:e>
              </m:mr>
            </m:m>
          </m:e>
        </m:d>
      </m:oMath>
      <w:r w:rsidR="002752F4">
        <w:rPr>
          <w:iCs/>
          <w:noProof/>
        </w:rPr>
        <w:t xml:space="preserve">, </w:t>
      </w:r>
      <w:r w:rsidR="002752F4" w:rsidRPr="002752F4">
        <w:rPr>
          <w:i/>
          <w:noProof/>
        </w:rPr>
        <w:t>and</w:t>
      </w:r>
    </w:p>
    <w:p w14:paraId="413BE5FE" w14:textId="77777777" w:rsidR="002752F4" w:rsidRPr="000F5F05" w:rsidRDefault="00000000" w:rsidP="002752F4">
      <w:pPr>
        <w:jc w:val="center"/>
        <w:rPr>
          <w:i/>
          <w:iCs/>
          <w:noProof/>
        </w:rPr>
      </w:pPr>
      <m:oMath>
        <m:sSubSup>
          <m:sSubSupPr>
            <m:ctrlPr>
              <w:rPr>
                <w:rFonts w:ascii="Cambria Math" w:hAnsi="Cambria Math"/>
                <w:i/>
                <w:iCs/>
                <w:noProof/>
              </w:rPr>
            </m:ctrlPr>
          </m:sSubSupPr>
          <m:e>
            <m:acc>
              <m:accPr>
                <m:ctrlPr>
                  <w:rPr>
                    <w:rFonts w:ascii="Cambria Math" w:hAnsi="Cambria Math"/>
                    <w:i/>
                    <w:iCs/>
                    <w:noProof/>
                  </w:rPr>
                </m:ctrlPr>
              </m:accPr>
              <m:e>
                <m:r>
                  <w:rPr>
                    <w:rFonts w:ascii="Cambria Math" w:hAnsi="Cambria Math"/>
                    <w:noProof/>
                  </w:rPr>
                  <m:t>r</m:t>
                </m:r>
              </m:e>
            </m:acc>
          </m:e>
          <m:sub>
            <m:r>
              <w:rPr>
                <w:rFonts w:ascii="Cambria Math" w:hAnsi="Cambria Math"/>
                <w:noProof/>
              </w:rPr>
              <m:t>tx, n,m,u,s</m:t>
            </m:r>
          </m:sub>
          <m:sup>
            <m:r>
              <w:rPr>
                <w:rFonts w:ascii="Cambria Math" w:hAnsi="Cambria Math"/>
                <w:noProof/>
              </w:rPr>
              <m:t>T</m:t>
            </m:r>
          </m:sup>
        </m:sSubSup>
        <m:r>
          <w:rPr>
            <w:rFonts w:ascii="Cambria Math" w:hAnsi="Cambria Math"/>
            <w:noProof/>
          </w:rPr>
          <m:t>=</m:t>
        </m:r>
        <m:d>
          <m:dPr>
            <m:begChr m:val="["/>
            <m:endChr m:val="]"/>
            <m:ctrlPr>
              <w:rPr>
                <w:rFonts w:ascii="Cambria Math" w:hAnsi="Cambria Math"/>
                <w:i/>
                <w:iCs/>
                <w:noProof/>
              </w:rPr>
            </m:ctrlPr>
          </m:dPr>
          <m:e>
            <m:m>
              <m:mPr>
                <m:mcs>
                  <m:mc>
                    <m:mcPr>
                      <m:count m:val="1"/>
                      <m:mcJc m:val="center"/>
                    </m:mcPr>
                  </m:mc>
                </m:mcs>
                <m:ctrlPr>
                  <w:rPr>
                    <w:rFonts w:ascii="Cambria Math" w:hAnsi="Cambria Math"/>
                    <w:i/>
                    <w:iCs/>
                    <w:noProof/>
                  </w:rPr>
                </m:ctrlPr>
              </m:mPr>
              <m:mr>
                <m:e>
                  <m:r>
                    <w:rPr>
                      <w:rFonts w:ascii="Cambria Math" w:hAnsi="Cambria Math"/>
                      <w:noProof/>
                    </w:rPr>
                    <m:t>sin</m:t>
                  </m:r>
                  <m:sSub>
                    <m:sSubPr>
                      <m:ctrlPr>
                        <w:rPr>
                          <w:rFonts w:ascii="Cambria Math" w:hAnsi="Cambria Math"/>
                          <w:i/>
                          <w:iCs/>
                          <w:noProof/>
                        </w:rPr>
                      </m:ctrlPr>
                    </m:sSubPr>
                    <m:e>
                      <m:r>
                        <w:rPr>
                          <w:rFonts w:ascii="Cambria Math" w:hAnsi="Cambria Math"/>
                          <w:noProof/>
                        </w:rPr>
                        <m:t>θ</m:t>
                      </m:r>
                    </m:e>
                    <m:sub>
                      <m:r>
                        <w:rPr>
                          <w:rFonts w:ascii="Cambria Math" w:hAnsi="Cambria Math"/>
                          <w:noProof/>
                        </w:rPr>
                        <m:t>n,m,u, s, ZOD</m:t>
                      </m:r>
                    </m:sub>
                  </m:sSub>
                  <m:r>
                    <w:rPr>
                      <w:rFonts w:ascii="Cambria Math" w:hAnsi="Cambria Math"/>
                      <w:noProof/>
                    </w:rPr>
                    <m:t>⋅cos</m:t>
                  </m:r>
                  <m:sSub>
                    <m:sSubPr>
                      <m:ctrlPr>
                        <w:rPr>
                          <w:rFonts w:ascii="Cambria Math" w:hAnsi="Cambria Math"/>
                          <w:i/>
                          <w:iCs/>
                          <w:noProof/>
                        </w:rPr>
                      </m:ctrlPr>
                    </m:sSubPr>
                    <m:e>
                      <m:r>
                        <w:rPr>
                          <w:rFonts w:ascii="Cambria Math" w:hAnsi="Cambria Math"/>
                          <w:noProof/>
                        </w:rPr>
                        <m:t>ϕ</m:t>
                      </m:r>
                    </m:e>
                    <m:sub>
                      <m:sSub>
                        <m:sSubPr>
                          <m:ctrlPr>
                            <w:rPr>
                              <w:rFonts w:ascii="Cambria Math" w:hAnsi="Cambria Math"/>
                              <w:i/>
                              <w:iCs/>
                              <w:noProof/>
                            </w:rPr>
                          </m:ctrlPr>
                        </m:sSubPr>
                        <m:e>
                          <m:r>
                            <w:rPr>
                              <w:rFonts w:ascii="Cambria Math" w:hAnsi="Cambria Math"/>
                              <w:noProof/>
                            </w:rPr>
                            <m:t>θ</m:t>
                          </m:r>
                        </m:e>
                        <m:sub>
                          <m:r>
                            <w:rPr>
                              <w:rFonts w:ascii="Cambria Math" w:hAnsi="Cambria Math"/>
                              <w:noProof/>
                            </w:rPr>
                            <m:t>n,m,u, s, AOD</m:t>
                          </m:r>
                        </m:sub>
                      </m:sSub>
                    </m:sub>
                  </m:sSub>
                </m:e>
              </m:mr>
              <m:mr>
                <m:e>
                  <m:r>
                    <w:rPr>
                      <w:rFonts w:ascii="Cambria Math" w:hAnsi="Cambria Math"/>
                      <w:noProof/>
                    </w:rPr>
                    <m:t>sin</m:t>
                  </m:r>
                  <m:sSub>
                    <m:sSubPr>
                      <m:ctrlPr>
                        <w:rPr>
                          <w:rFonts w:ascii="Cambria Math" w:hAnsi="Cambria Math"/>
                          <w:i/>
                          <w:iCs/>
                          <w:noProof/>
                        </w:rPr>
                      </m:ctrlPr>
                    </m:sSubPr>
                    <m:e>
                      <m:r>
                        <w:rPr>
                          <w:rFonts w:ascii="Cambria Math" w:hAnsi="Cambria Math"/>
                          <w:noProof/>
                        </w:rPr>
                        <m:t>θ</m:t>
                      </m:r>
                    </m:e>
                    <m:sub>
                      <m:r>
                        <w:rPr>
                          <w:rFonts w:ascii="Cambria Math" w:hAnsi="Cambria Math"/>
                          <w:noProof/>
                        </w:rPr>
                        <m:t>n,m,u, s, ZOD</m:t>
                      </m:r>
                    </m:sub>
                  </m:sSub>
                  <m:r>
                    <w:rPr>
                      <w:rFonts w:ascii="Cambria Math" w:hAnsi="Cambria Math"/>
                      <w:noProof/>
                    </w:rPr>
                    <m:t>⋅sin</m:t>
                  </m:r>
                  <m:sSub>
                    <m:sSubPr>
                      <m:ctrlPr>
                        <w:rPr>
                          <w:rFonts w:ascii="Cambria Math" w:hAnsi="Cambria Math"/>
                          <w:i/>
                          <w:iCs/>
                          <w:noProof/>
                        </w:rPr>
                      </m:ctrlPr>
                    </m:sSubPr>
                    <m:e>
                      <m:r>
                        <w:rPr>
                          <w:rFonts w:ascii="Cambria Math" w:hAnsi="Cambria Math"/>
                          <w:noProof/>
                        </w:rPr>
                        <m:t>ϕ</m:t>
                      </m:r>
                    </m:e>
                    <m:sub>
                      <m:sSub>
                        <m:sSubPr>
                          <m:ctrlPr>
                            <w:rPr>
                              <w:rFonts w:ascii="Cambria Math" w:hAnsi="Cambria Math"/>
                              <w:i/>
                              <w:iCs/>
                              <w:noProof/>
                            </w:rPr>
                          </m:ctrlPr>
                        </m:sSubPr>
                        <m:e>
                          <m:r>
                            <w:rPr>
                              <w:rFonts w:ascii="Cambria Math" w:hAnsi="Cambria Math"/>
                              <w:noProof/>
                            </w:rPr>
                            <m:t>θ</m:t>
                          </m:r>
                        </m:e>
                        <m:sub>
                          <m:r>
                            <w:rPr>
                              <w:rFonts w:ascii="Cambria Math" w:hAnsi="Cambria Math"/>
                              <w:noProof/>
                            </w:rPr>
                            <m:t>n,m,u, s, AOD</m:t>
                          </m:r>
                        </m:sub>
                      </m:sSub>
                    </m:sub>
                  </m:sSub>
                </m:e>
              </m:mr>
              <m:mr>
                <m:e>
                  <m:r>
                    <w:rPr>
                      <w:rFonts w:ascii="Cambria Math" w:hAnsi="Cambria Math"/>
                      <w:noProof/>
                    </w:rPr>
                    <m:t>cos</m:t>
                  </m:r>
                  <m:sSub>
                    <m:sSubPr>
                      <m:ctrlPr>
                        <w:rPr>
                          <w:rFonts w:ascii="Cambria Math" w:hAnsi="Cambria Math"/>
                          <w:i/>
                          <w:iCs/>
                          <w:noProof/>
                        </w:rPr>
                      </m:ctrlPr>
                    </m:sSubPr>
                    <m:e>
                      <m:r>
                        <w:rPr>
                          <w:rFonts w:ascii="Cambria Math" w:hAnsi="Cambria Math"/>
                          <w:noProof/>
                        </w:rPr>
                        <m:t>θ</m:t>
                      </m:r>
                    </m:e>
                    <m:sub>
                      <m:r>
                        <w:rPr>
                          <w:rFonts w:ascii="Cambria Math" w:hAnsi="Cambria Math"/>
                          <w:noProof/>
                        </w:rPr>
                        <m:t>n,m,u, s, ZOD</m:t>
                      </m:r>
                    </m:sub>
                  </m:sSub>
                </m:e>
              </m:mr>
            </m:m>
          </m:e>
        </m:d>
      </m:oMath>
      <w:r w:rsidR="002752F4">
        <w:rPr>
          <w:iCs/>
          <w:noProof/>
        </w:rPr>
        <w:t>.</w:t>
      </w:r>
    </w:p>
    <w:p w14:paraId="7399018C" w14:textId="31F316C5" w:rsidR="00DE4DC4" w:rsidRPr="00DE4DC4" w:rsidRDefault="00DE4DC4" w:rsidP="00787534">
      <w:pPr>
        <w:jc w:val="both"/>
        <w:rPr>
          <w:i/>
          <w:szCs w:val="20"/>
        </w:rPr>
      </w:pPr>
    </w:p>
    <w:p w14:paraId="38E42670" w14:textId="77777777" w:rsidR="00DE4DC4" w:rsidRDefault="00DE4DC4" w:rsidP="006F3E21"/>
    <w:p w14:paraId="27F714BA" w14:textId="23D40399" w:rsidR="001E799A" w:rsidRDefault="001E799A" w:rsidP="001E799A">
      <w:pPr>
        <w:jc w:val="both"/>
        <w:rPr>
          <w:noProof/>
        </w:rPr>
      </w:pPr>
      <w:r>
        <w:rPr>
          <w:noProof/>
        </w:rPr>
        <w:t xml:space="preserve">Once a cluster is in near-field region, the angles of arrival (AoA, ZoA) and the angles of departure (AoD, ZoD) of the cluster is not a single value. This is because in spherical wave, different transmit antenna elements to a receiver antenna have different angles. Instead, the angles of arrival (AoA, ZoA) and the angles of departure (AoD, ZoD) of the cluster should be composed of a vector of values. The difference among the values in the vector may depend on the distance between base station and cluster. In general, the closer between base station and cluster, the larger the difference among the values in the vector. </w:t>
      </w:r>
    </w:p>
    <w:p w14:paraId="7CAF57AF" w14:textId="77777777" w:rsidR="00787534" w:rsidRDefault="00787534" w:rsidP="001E799A">
      <w:pPr>
        <w:jc w:val="both"/>
        <w:rPr>
          <w:noProof/>
        </w:rPr>
      </w:pPr>
    </w:p>
    <w:p w14:paraId="00FA0DE8" w14:textId="6E9D6050" w:rsidR="00787534" w:rsidRDefault="001E799A" w:rsidP="001E799A">
      <w:pPr>
        <w:jc w:val="both"/>
        <w:rPr>
          <w:noProof/>
        </w:rPr>
      </w:pPr>
      <w:r>
        <w:rPr>
          <w:noProof/>
        </w:rPr>
        <w:t xml:space="preserve">Since the Doppler frequency component depends on the arrival angles (e.g., formula 7.5-25 of </w:t>
      </w:r>
      <w:r>
        <w:rPr>
          <w:noProof/>
        </w:rPr>
        <w:fldChar w:fldCharType="begin"/>
      </w:r>
      <w:r>
        <w:rPr>
          <w:noProof/>
        </w:rPr>
        <w:instrText xml:space="preserve"> REF _Ref166225065 \r \h </w:instrText>
      </w:r>
      <w:r>
        <w:rPr>
          <w:noProof/>
        </w:rPr>
      </w:r>
      <w:r>
        <w:rPr>
          <w:noProof/>
        </w:rPr>
        <w:fldChar w:fldCharType="separate"/>
      </w:r>
      <w:r w:rsidR="00645D60">
        <w:rPr>
          <w:noProof/>
        </w:rPr>
        <w:t>[4]</w:t>
      </w:r>
      <w:r>
        <w:rPr>
          <w:noProof/>
        </w:rPr>
        <w:fldChar w:fldCharType="end"/>
      </w:r>
      <w:r>
        <w:rPr>
          <w:noProof/>
        </w:rPr>
        <w:t>), we think it is necessary to seperately model the Doppler shift for each pair of TRP antenna element and UE antenna element.</w:t>
      </w:r>
    </w:p>
    <w:p w14:paraId="7601F83E" w14:textId="77777777" w:rsidR="002752F4" w:rsidRDefault="002752F4" w:rsidP="00655F47">
      <w:pPr>
        <w:jc w:val="both"/>
        <w:rPr>
          <w:noProof/>
        </w:rPr>
      </w:pPr>
    </w:p>
    <w:p w14:paraId="34769B47" w14:textId="3585DB1F" w:rsidR="002752F4" w:rsidRDefault="002752F4" w:rsidP="002752F4">
      <w:pPr>
        <w:jc w:val="both"/>
        <w:rPr>
          <w:noProof/>
        </w:rPr>
      </w:pPr>
      <w:r w:rsidRPr="00560655">
        <w:rPr>
          <w:noProof/>
        </w:rPr>
        <w:t xml:space="preserve">On the other hand, different pairs of TRP antenna element and UE antenna element have different delays for </w:t>
      </w:r>
      <w:r>
        <w:rPr>
          <w:noProof/>
        </w:rPr>
        <w:t>non-</w:t>
      </w:r>
      <w:r w:rsidRPr="00560655">
        <w:rPr>
          <w:noProof/>
        </w:rPr>
        <w:t xml:space="preserve">direct path. </w:t>
      </w:r>
      <w:r>
        <w:rPr>
          <w:noProof/>
        </w:rPr>
        <w:t>The delay difference on different pairs is non-negligible</w:t>
      </w:r>
      <w:r w:rsidRPr="00560655">
        <w:rPr>
          <w:noProof/>
        </w:rPr>
        <w:t>.</w:t>
      </w:r>
      <w:r>
        <w:rPr>
          <w:noProof/>
        </w:rPr>
        <w:t xml:space="preserve"> Hence, it is preferred to model the delay for each pair of TRP antenna element and UE antenna element. </w:t>
      </w:r>
    </w:p>
    <w:p w14:paraId="1094ABBE" w14:textId="77777777" w:rsidR="002752F4" w:rsidRDefault="002752F4" w:rsidP="002752F4">
      <w:pPr>
        <w:jc w:val="both"/>
        <w:rPr>
          <w:noProof/>
        </w:rPr>
      </w:pPr>
    </w:p>
    <w:p w14:paraId="33FB3BF3" w14:textId="575DB585" w:rsidR="002752F4" w:rsidRDefault="002752F4" w:rsidP="002752F4">
      <w:pPr>
        <w:jc w:val="both"/>
        <w:rPr>
          <w:noProof/>
        </w:rPr>
      </w:pPr>
      <w:r>
        <w:rPr>
          <w:noProof/>
        </w:rPr>
        <w:t xml:space="preserve">Finally, we do not think near-field channel model will affect the amplitude for non-direct path between TRP and UE. </w:t>
      </w:r>
    </w:p>
    <w:p w14:paraId="20A6A9B4" w14:textId="77777777" w:rsidR="00655F47" w:rsidRDefault="00655F47" w:rsidP="00655F47">
      <w:pPr>
        <w:jc w:val="both"/>
        <w:rPr>
          <w:noProof/>
        </w:rPr>
      </w:pPr>
    </w:p>
    <w:p w14:paraId="5BE8B5D8" w14:textId="5B482804" w:rsidR="00655F47" w:rsidRDefault="00655F47" w:rsidP="00655F47">
      <w:pPr>
        <w:jc w:val="both"/>
        <w:rPr>
          <w:i/>
          <w:iCs/>
        </w:rPr>
      </w:pPr>
      <w:r w:rsidRPr="00D906A0">
        <w:rPr>
          <w:b/>
          <w:bCs/>
          <w:i/>
          <w:iCs/>
          <w:u w:val="single"/>
        </w:rPr>
        <w:t xml:space="preserve">Proposal </w:t>
      </w:r>
      <w:r w:rsidR="002752F4">
        <w:rPr>
          <w:b/>
          <w:bCs/>
          <w:i/>
          <w:iCs/>
          <w:u w:val="single"/>
        </w:rPr>
        <w:t>3</w:t>
      </w:r>
      <w:r w:rsidRPr="00D906A0">
        <w:rPr>
          <w:b/>
          <w:bCs/>
          <w:i/>
          <w:iCs/>
          <w:u w:val="single"/>
        </w:rPr>
        <w:t>:</w:t>
      </w:r>
      <w:r w:rsidRPr="00D906A0">
        <w:rPr>
          <w:i/>
          <w:iCs/>
        </w:rPr>
        <w:t xml:space="preserve"> </w:t>
      </w:r>
      <w:r>
        <w:rPr>
          <w:i/>
          <w:iCs/>
        </w:rPr>
        <w:t>For near-field channel model study with non-direct path, to model the</w:t>
      </w:r>
      <w:r w:rsidRPr="00DE4DC4">
        <w:rPr>
          <w:i/>
          <w:iCs/>
        </w:rPr>
        <w:t xml:space="preserve"> angular domain channel parameters</w:t>
      </w:r>
      <w:r w:rsidR="00DE4DC4" w:rsidRPr="00DE4DC4">
        <w:rPr>
          <w:i/>
          <w:iCs/>
        </w:rPr>
        <w:t xml:space="preserve">, </w:t>
      </w:r>
      <w:r w:rsidRPr="00DE4DC4">
        <w:rPr>
          <w:i/>
          <w:iCs/>
        </w:rPr>
        <w:t>Doppler shift</w:t>
      </w:r>
      <w:r w:rsidR="00DE4DC4">
        <w:rPr>
          <w:i/>
          <w:iCs/>
        </w:rPr>
        <w:t xml:space="preserve"> </w:t>
      </w:r>
      <w:r w:rsidR="00DE4DC4" w:rsidRPr="002752F4">
        <w:rPr>
          <w:i/>
          <w:iCs/>
        </w:rPr>
        <w:t>and delay</w:t>
      </w:r>
      <w:r w:rsidRPr="002752F4">
        <w:rPr>
          <w:i/>
          <w:iCs/>
        </w:rPr>
        <w:t xml:space="preserve"> for</w:t>
      </w:r>
      <w:r>
        <w:rPr>
          <w:i/>
          <w:iCs/>
        </w:rPr>
        <w:t xml:space="preserve"> each pair of TRP antenna element and UE antenna element.</w:t>
      </w:r>
    </w:p>
    <w:p w14:paraId="526280E1" w14:textId="12DA7ADF" w:rsidR="001E799A" w:rsidRDefault="00655F47" w:rsidP="000A3A56">
      <w:pPr>
        <w:pStyle w:val="ListParagraph"/>
        <w:widowControl w:val="0"/>
        <w:numPr>
          <w:ilvl w:val="0"/>
          <w:numId w:val="48"/>
        </w:numPr>
        <w:tabs>
          <w:tab w:val="left" w:pos="1304"/>
          <w:tab w:val="left" w:pos="1440"/>
          <w:tab w:val="left" w:pos="2160"/>
        </w:tabs>
        <w:snapToGrid w:val="0"/>
        <w:ind w:left="720"/>
        <w:jc w:val="both"/>
      </w:pPr>
      <w:r w:rsidRPr="00DE4DC4">
        <w:rPr>
          <w:rFonts w:ascii="Times New Roman" w:hAnsi="Times New Roman"/>
          <w:i/>
          <w:iCs/>
          <w:sz w:val="24"/>
          <w:szCs w:val="24"/>
        </w:rPr>
        <w:t xml:space="preserve">No changes on the </w:t>
      </w:r>
      <w:r w:rsidRPr="002752F4">
        <w:rPr>
          <w:rFonts w:ascii="Times New Roman" w:hAnsi="Times New Roman"/>
          <w:i/>
          <w:iCs/>
          <w:sz w:val="24"/>
          <w:szCs w:val="24"/>
        </w:rPr>
        <w:t xml:space="preserve">parameter value </w:t>
      </w:r>
      <w:r w:rsidR="00DE4DC4" w:rsidRPr="002752F4">
        <w:rPr>
          <w:rFonts w:ascii="Times New Roman" w:hAnsi="Times New Roman"/>
          <w:i/>
          <w:iCs/>
          <w:sz w:val="24"/>
          <w:szCs w:val="24"/>
        </w:rPr>
        <w:t>and amplitude.</w:t>
      </w:r>
      <w:r w:rsidR="00DE4DC4">
        <w:rPr>
          <w:rFonts w:ascii="Times New Roman" w:hAnsi="Times New Roman"/>
          <w:i/>
          <w:iCs/>
          <w:sz w:val="24"/>
          <w:szCs w:val="24"/>
        </w:rPr>
        <w:t xml:space="preserve"> </w:t>
      </w:r>
    </w:p>
    <w:p w14:paraId="7DE6FDE4" w14:textId="77777777" w:rsidR="00DE4DC4" w:rsidRDefault="00DE4DC4" w:rsidP="008B11E8">
      <w:pPr>
        <w:jc w:val="both"/>
      </w:pPr>
    </w:p>
    <w:p w14:paraId="69D38972" w14:textId="7694C40C" w:rsidR="003716A5" w:rsidRDefault="003716A5" w:rsidP="008B11E8">
      <w:pPr>
        <w:jc w:val="both"/>
      </w:pPr>
      <w:r>
        <w:t>It was agreed</w:t>
      </w:r>
      <w:r w:rsidR="00645D60">
        <w:t xml:space="preserve"> </w:t>
      </w:r>
      <w:r w:rsidR="00645D60">
        <w:fldChar w:fldCharType="begin"/>
      </w:r>
      <w:r w:rsidR="00645D60">
        <w:instrText xml:space="preserve"> REF _Ref146638431 \r \h </w:instrText>
      </w:r>
      <w:r w:rsidR="00645D60">
        <w:fldChar w:fldCharType="separate"/>
      </w:r>
      <w:r w:rsidR="00645D60">
        <w:t>[2]</w:t>
      </w:r>
      <w:r w:rsidR="00645D60">
        <w:fldChar w:fldCharType="end"/>
      </w:r>
      <w:r>
        <w:t xml:space="preserve"> that</w:t>
      </w:r>
      <w:r w:rsidR="00FC7116">
        <w:t xml:space="preserve"> </w:t>
      </w:r>
      <w:r w:rsidR="00645D60">
        <w:t>two</w:t>
      </w:r>
      <w:r w:rsidR="00FC7116">
        <w:t xml:space="preserve"> options </w:t>
      </w:r>
      <w:r w:rsidR="008B11E8">
        <w:t>of</w:t>
      </w:r>
      <w:r w:rsidR="00FC7116">
        <w:t xml:space="preserve"> modeling </w:t>
      </w:r>
      <w:r w:rsidR="008B11E8">
        <w:t>non-direct path between TRP and UE for near-field</w:t>
      </w:r>
      <w:r w:rsidR="00EF6460">
        <w:t xml:space="preserve"> </w:t>
      </w:r>
      <w:r w:rsidR="00FC7116">
        <w:t xml:space="preserve">are considered. Among these options, we </w:t>
      </w:r>
      <w:r w:rsidR="00FC7116" w:rsidRPr="002752F4">
        <w:t>prefer the cluster location-based approach</w:t>
      </w:r>
      <w:r w:rsidR="008B11E8" w:rsidRPr="002752F4">
        <w:t xml:space="preserve"> for its simplicity, where the cluster location is derived based on the distance between TRP and cluster.</w:t>
      </w:r>
      <w:r w:rsidR="008B11E8">
        <w:t xml:space="preserve"> </w:t>
      </w:r>
    </w:p>
    <w:p w14:paraId="178AE271" w14:textId="77777777" w:rsidR="008B11E8" w:rsidRDefault="008B11E8" w:rsidP="008B11E8">
      <w:pPr>
        <w:jc w:val="both"/>
      </w:pPr>
    </w:p>
    <w:p w14:paraId="57E5A8E0" w14:textId="6187BFF9" w:rsidR="008B11E8" w:rsidRDefault="008B11E8" w:rsidP="008B11E8">
      <w:pPr>
        <w:jc w:val="both"/>
        <w:rPr>
          <w:noProof/>
        </w:rPr>
      </w:pPr>
      <w:r>
        <w:rPr>
          <w:noProof/>
        </w:rPr>
        <w:t xml:space="preserve">Specically, in the step of “Generate delays” of the </w:t>
      </w:r>
      <w:r>
        <w:t xml:space="preserve">channel coefficient generation procedure </w:t>
      </w:r>
      <w:r>
        <w:fldChar w:fldCharType="begin"/>
      </w:r>
      <w:r>
        <w:instrText xml:space="preserve"> REF _Ref166225065 \r \h </w:instrText>
      </w:r>
      <w:r>
        <w:fldChar w:fldCharType="separate"/>
      </w:r>
      <w:r w:rsidR="00645D60">
        <w:t>[4]</w:t>
      </w:r>
      <w:r>
        <w:fldChar w:fldCharType="end"/>
      </w:r>
      <w:r>
        <w:t xml:space="preserve"> (see </w:t>
      </w:r>
      <w:r>
        <w:fldChar w:fldCharType="begin"/>
      </w:r>
      <w:r>
        <w:instrText xml:space="preserve"> REF _Ref168315272 \h </w:instrText>
      </w:r>
      <w:r>
        <w:fldChar w:fldCharType="separate"/>
      </w:r>
      <w:r w:rsidR="00645D60">
        <w:t xml:space="preserve">Figure </w:t>
      </w:r>
      <w:r w:rsidR="00645D60">
        <w:rPr>
          <w:noProof/>
        </w:rPr>
        <w:t>1</w:t>
      </w:r>
      <w:r>
        <w:fldChar w:fldCharType="end"/>
      </w:r>
      <w:r>
        <w:t>)</w:t>
      </w:r>
      <w:r>
        <w:rPr>
          <w:noProof/>
        </w:rPr>
        <w:t xml:space="preserve">, we need to check whether a cluster is within the near-field region of a </w:t>
      </w:r>
      <w:r w:rsidR="002E3428">
        <w:rPr>
          <w:noProof/>
        </w:rPr>
        <w:t>TRP</w:t>
      </w:r>
      <w:r>
        <w:rPr>
          <w:noProof/>
        </w:rPr>
        <w:t xml:space="preserve">. This involves calculating Rayleigh distance in a given setting (e.g., </w:t>
      </w:r>
      <w:r w:rsidRPr="002752F4">
        <w:rPr>
          <w:noProof/>
        </w:rPr>
        <w:t>based on antenna aperture and carrier frequency), and comparing</w:t>
      </w:r>
      <w:r w:rsidR="00F07330" w:rsidRPr="002752F4">
        <w:rPr>
          <w:noProof/>
        </w:rPr>
        <w:t xml:space="preserve"> it with</w:t>
      </w:r>
      <w:r w:rsidRPr="002752F4">
        <w:rPr>
          <w:noProof/>
        </w:rPr>
        <w:t xml:space="preserve"> the distance between </w:t>
      </w:r>
      <w:r w:rsidR="00F07330" w:rsidRPr="002752F4">
        <w:rPr>
          <w:noProof/>
        </w:rPr>
        <w:t>TRP</w:t>
      </w:r>
      <w:r w:rsidRPr="002752F4">
        <w:rPr>
          <w:noProof/>
        </w:rPr>
        <w:t xml:space="preserve"> and </w:t>
      </w:r>
      <w:r w:rsidR="00F07330" w:rsidRPr="002752F4">
        <w:rPr>
          <w:noProof/>
        </w:rPr>
        <w:t xml:space="preserve">a </w:t>
      </w:r>
      <w:r w:rsidRPr="002752F4">
        <w:rPr>
          <w:noProof/>
        </w:rPr>
        <w:t xml:space="preserve">cluster. Here, the distance between </w:t>
      </w:r>
      <w:r w:rsidR="002E3428" w:rsidRPr="002752F4">
        <w:rPr>
          <w:noProof/>
        </w:rPr>
        <w:t>TRP</w:t>
      </w:r>
      <w:r w:rsidRPr="002752F4">
        <w:rPr>
          <w:noProof/>
        </w:rPr>
        <w:t xml:space="preserve"> and a cluster is </w:t>
      </w:r>
      <w:r w:rsidR="002E3428" w:rsidRPr="002752F4">
        <w:rPr>
          <w:noProof/>
        </w:rPr>
        <w:t>calculated</w:t>
      </w:r>
      <w:r w:rsidRPr="002752F4">
        <w:rPr>
          <w:noProof/>
        </w:rPr>
        <w:t xml:space="preserve"> by the cluster delay generated in Step 5.</w:t>
      </w:r>
      <w:r w:rsidR="002E3428">
        <w:rPr>
          <w:noProof/>
        </w:rPr>
        <w:t xml:space="preserve"> </w:t>
      </w:r>
    </w:p>
    <w:p w14:paraId="1DD7925A" w14:textId="77777777" w:rsidR="008B11E8" w:rsidRDefault="008B11E8" w:rsidP="008B11E8">
      <w:pPr>
        <w:jc w:val="both"/>
        <w:rPr>
          <w:noProof/>
        </w:rPr>
      </w:pPr>
    </w:p>
    <w:p w14:paraId="30825AF4" w14:textId="77777777" w:rsidR="008B11E8" w:rsidRDefault="00960E67" w:rsidP="008B11E8">
      <w:pPr>
        <w:keepNext/>
        <w:jc w:val="center"/>
      </w:pPr>
      <w:r w:rsidRPr="00147F39">
        <w:rPr>
          <w:noProof/>
        </w:rPr>
        <w:object w:dxaOrig="11215" w:dyaOrig="7255" w14:anchorId="36CF85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5.3pt;height:4in;mso-width-percent:0;mso-height-percent:0;mso-width-percent:0;mso-height-percent:0" o:ole="">
            <v:imagedata r:id="rId8" o:title=""/>
          </v:shape>
          <o:OLEObject Type="Embed" ProgID="Visio.Drawing.11" ShapeID="_x0000_i1025" DrawAspect="Content" ObjectID="_1789405299" r:id="rId9"/>
        </w:object>
      </w:r>
    </w:p>
    <w:p w14:paraId="7FFE3FE1" w14:textId="2332ABB3" w:rsidR="008B11E8" w:rsidRDefault="008B11E8" w:rsidP="002E3428">
      <w:pPr>
        <w:pStyle w:val="Caption"/>
        <w:rPr>
          <w:noProof/>
        </w:rPr>
      </w:pPr>
      <w:bookmarkStart w:id="0" w:name="_Ref168315272"/>
      <w:r>
        <w:t xml:space="preserve">Figure </w:t>
      </w:r>
      <w:fldSimple w:instr=" SEQ Figure \* ARABIC ">
        <w:r w:rsidR="00645D60">
          <w:rPr>
            <w:noProof/>
          </w:rPr>
          <w:t>1</w:t>
        </w:r>
      </w:fldSimple>
      <w:bookmarkEnd w:id="0"/>
      <w:r>
        <w:t xml:space="preserve">: Channel coefficient generation procedure </w:t>
      </w:r>
      <w:r>
        <w:fldChar w:fldCharType="begin"/>
      </w:r>
      <w:r>
        <w:instrText xml:space="preserve"> REF _Ref166225065 \r \h </w:instrText>
      </w:r>
      <w:r>
        <w:fldChar w:fldCharType="separate"/>
      </w:r>
      <w:r w:rsidR="00645D60">
        <w:t>[4]</w:t>
      </w:r>
      <w:r>
        <w:fldChar w:fldCharType="end"/>
      </w:r>
    </w:p>
    <w:p w14:paraId="653AFEC7" w14:textId="77777777" w:rsidR="003716A5" w:rsidRPr="003716A5" w:rsidRDefault="003716A5" w:rsidP="006F3E21"/>
    <w:p w14:paraId="6F24A29C" w14:textId="55F72EB9" w:rsidR="00655F47" w:rsidRDefault="00655F47" w:rsidP="00655F47">
      <w:pPr>
        <w:jc w:val="both"/>
        <w:rPr>
          <w:i/>
          <w:iCs/>
        </w:rPr>
      </w:pPr>
      <w:r w:rsidRPr="00D906A0">
        <w:rPr>
          <w:b/>
          <w:bCs/>
          <w:i/>
          <w:iCs/>
          <w:u w:val="single"/>
        </w:rPr>
        <w:t xml:space="preserve">Proposal </w:t>
      </w:r>
      <w:r w:rsidR="002752F4">
        <w:rPr>
          <w:b/>
          <w:bCs/>
          <w:i/>
          <w:iCs/>
          <w:u w:val="single"/>
        </w:rPr>
        <w:t>4</w:t>
      </w:r>
      <w:r w:rsidRPr="00D906A0">
        <w:rPr>
          <w:b/>
          <w:bCs/>
          <w:i/>
          <w:iCs/>
          <w:u w:val="single"/>
        </w:rPr>
        <w:t>:</w:t>
      </w:r>
      <w:r w:rsidRPr="00D906A0">
        <w:rPr>
          <w:i/>
          <w:iCs/>
        </w:rPr>
        <w:t xml:space="preserve"> </w:t>
      </w:r>
      <w:r>
        <w:rPr>
          <w:i/>
          <w:iCs/>
        </w:rPr>
        <w:t xml:space="preserve">For near-field channel model </w:t>
      </w:r>
      <w:r w:rsidRPr="002E3428">
        <w:rPr>
          <w:i/>
          <w:iCs/>
        </w:rPr>
        <w:t>study, for non-direct path between</w:t>
      </w:r>
      <w:r>
        <w:rPr>
          <w:i/>
          <w:iCs/>
        </w:rPr>
        <w:t xml:space="preserve"> TRP and UE, consider Option-1 of the cluster location-based approach, wherein the cluster location is derived based on the distance between TRP and cluster. </w:t>
      </w:r>
    </w:p>
    <w:p w14:paraId="6B7F22F8" w14:textId="77777777" w:rsidR="00655F47" w:rsidRDefault="00655F47" w:rsidP="00655F47">
      <w:pPr>
        <w:pStyle w:val="ListParagraph"/>
        <w:widowControl w:val="0"/>
        <w:numPr>
          <w:ilvl w:val="0"/>
          <w:numId w:val="56"/>
        </w:numPr>
        <w:tabs>
          <w:tab w:val="left" w:pos="840"/>
          <w:tab w:val="left" w:pos="1304"/>
          <w:tab w:val="left" w:pos="1440"/>
          <w:tab w:val="left" w:pos="2160"/>
        </w:tabs>
        <w:snapToGrid w:val="0"/>
        <w:jc w:val="both"/>
        <w:rPr>
          <w:rFonts w:ascii="Times New Roman" w:hAnsi="Times New Roman"/>
          <w:i/>
          <w:iCs/>
          <w:sz w:val="24"/>
          <w:szCs w:val="24"/>
        </w:rPr>
      </w:pPr>
      <w:r w:rsidRPr="002E3428">
        <w:rPr>
          <w:rFonts w:ascii="Times New Roman" w:hAnsi="Times New Roman"/>
          <w:i/>
          <w:iCs/>
          <w:sz w:val="24"/>
          <w:szCs w:val="24"/>
        </w:rPr>
        <w:t xml:space="preserve">The distance between TRP and cluster </w:t>
      </w:r>
      <w:r>
        <w:rPr>
          <w:rFonts w:ascii="Times New Roman" w:hAnsi="Times New Roman"/>
          <w:i/>
          <w:iCs/>
          <w:sz w:val="24"/>
          <w:szCs w:val="24"/>
        </w:rPr>
        <w:t>is</w:t>
      </w:r>
      <w:r w:rsidRPr="002E3428">
        <w:rPr>
          <w:rFonts w:ascii="Times New Roman" w:hAnsi="Times New Roman"/>
          <w:i/>
          <w:iCs/>
          <w:sz w:val="24"/>
          <w:szCs w:val="24"/>
        </w:rPr>
        <w:t xml:space="preserve"> </w:t>
      </w:r>
      <w:r>
        <w:rPr>
          <w:rFonts w:ascii="Times New Roman" w:hAnsi="Times New Roman"/>
          <w:i/>
          <w:iCs/>
          <w:sz w:val="24"/>
          <w:szCs w:val="24"/>
        </w:rPr>
        <w:t>calculated</w:t>
      </w:r>
      <w:r w:rsidRPr="002E3428">
        <w:rPr>
          <w:rFonts w:ascii="Times New Roman" w:hAnsi="Times New Roman"/>
          <w:i/>
          <w:iCs/>
          <w:sz w:val="24"/>
          <w:szCs w:val="24"/>
        </w:rPr>
        <w:t xml:space="preserve"> </w:t>
      </w:r>
      <w:r>
        <w:rPr>
          <w:rFonts w:ascii="Times New Roman" w:hAnsi="Times New Roman"/>
          <w:i/>
          <w:iCs/>
          <w:sz w:val="24"/>
          <w:szCs w:val="24"/>
        </w:rPr>
        <w:t xml:space="preserve">by </w:t>
      </w:r>
      <w:r w:rsidRPr="002E3428">
        <w:rPr>
          <w:rFonts w:ascii="Times New Roman" w:hAnsi="Times New Roman"/>
          <w:i/>
          <w:iCs/>
          <w:sz w:val="24"/>
          <w:szCs w:val="24"/>
        </w:rPr>
        <w:t>the cluster delay</w:t>
      </w:r>
      <w:r>
        <w:rPr>
          <w:rFonts w:ascii="Times New Roman" w:hAnsi="Times New Roman"/>
          <w:i/>
          <w:iCs/>
          <w:sz w:val="24"/>
          <w:szCs w:val="24"/>
        </w:rPr>
        <w:t xml:space="preserve"> generated in Step 5 </w:t>
      </w:r>
      <w:r w:rsidRPr="00F07330">
        <w:rPr>
          <w:rFonts w:ascii="Times New Roman" w:hAnsi="Times New Roman"/>
          <w:i/>
          <w:iCs/>
          <w:sz w:val="24"/>
          <w:szCs w:val="24"/>
        </w:rPr>
        <w:t>(“Generate delays”)</w:t>
      </w:r>
      <w:r>
        <w:rPr>
          <w:rFonts w:ascii="Times New Roman" w:hAnsi="Times New Roman"/>
          <w:i/>
          <w:iCs/>
          <w:sz w:val="24"/>
          <w:szCs w:val="24"/>
        </w:rPr>
        <w:t xml:space="preserve"> of channel coefficient generation procedure</w:t>
      </w:r>
      <w:r w:rsidRPr="002E3428">
        <w:rPr>
          <w:rFonts w:ascii="Times New Roman" w:hAnsi="Times New Roman"/>
          <w:i/>
          <w:iCs/>
          <w:sz w:val="24"/>
          <w:szCs w:val="24"/>
        </w:rPr>
        <w:t>.</w:t>
      </w:r>
    </w:p>
    <w:p w14:paraId="076D7E4E" w14:textId="77777777" w:rsidR="00655F47" w:rsidRPr="00F07330" w:rsidRDefault="00655F47" w:rsidP="00655F47">
      <w:pPr>
        <w:pStyle w:val="ListParagraph"/>
        <w:widowControl w:val="0"/>
        <w:numPr>
          <w:ilvl w:val="0"/>
          <w:numId w:val="56"/>
        </w:numPr>
        <w:tabs>
          <w:tab w:val="left" w:pos="840"/>
          <w:tab w:val="left" w:pos="1304"/>
          <w:tab w:val="left" w:pos="1440"/>
          <w:tab w:val="left" w:pos="2160"/>
        </w:tabs>
        <w:snapToGrid w:val="0"/>
        <w:jc w:val="both"/>
        <w:rPr>
          <w:rFonts w:ascii="Times New Roman" w:hAnsi="Times New Roman"/>
          <w:i/>
          <w:iCs/>
          <w:sz w:val="24"/>
          <w:szCs w:val="24"/>
        </w:rPr>
      </w:pPr>
      <w:r>
        <w:rPr>
          <w:rFonts w:ascii="Times New Roman" w:hAnsi="Times New Roman"/>
          <w:i/>
          <w:iCs/>
          <w:sz w:val="24"/>
          <w:szCs w:val="24"/>
        </w:rPr>
        <w:t xml:space="preserve">If a cluster is within the Rayleigh distance from TRP, apply the near-field channel model. </w:t>
      </w:r>
    </w:p>
    <w:p w14:paraId="401D4871" w14:textId="77777777" w:rsidR="00F07330" w:rsidRDefault="00F07330" w:rsidP="002E354C">
      <w:pPr>
        <w:widowControl w:val="0"/>
        <w:tabs>
          <w:tab w:val="left" w:pos="840"/>
          <w:tab w:val="left" w:pos="1304"/>
          <w:tab w:val="left" w:pos="1440"/>
          <w:tab w:val="left" w:pos="2160"/>
        </w:tabs>
        <w:snapToGrid w:val="0"/>
        <w:spacing w:before="60" w:after="60"/>
        <w:jc w:val="both"/>
      </w:pPr>
    </w:p>
    <w:p w14:paraId="785CAFAA" w14:textId="5914F5FC" w:rsidR="002E354C" w:rsidRDefault="002E354C" w:rsidP="00F07330">
      <w:pPr>
        <w:pStyle w:val="Heading2"/>
      </w:pPr>
      <w:r w:rsidRPr="00457D24">
        <w:t>Spatial non-stationarity</w:t>
      </w:r>
    </w:p>
    <w:p w14:paraId="6A54C1FD" w14:textId="77777777" w:rsidR="00F07330" w:rsidRDefault="00F07330" w:rsidP="00F07330">
      <w:pPr>
        <w:jc w:val="both"/>
      </w:pPr>
      <w:r>
        <w:t xml:space="preserve">Due to large number of antenna elements and large antenna aperture in ELAA, different antenna elements may have different propagation characteristics. This scenario is more likely in the near field region. A typical example is that some antenna elements on an antenna panel have LOS path to an objective (either UE or cluster), while other antenna elements in the same antenna panel have blockage on their paths to the objective. This results in spatial non-stationarity at base station side. This is different from the spatial consistency modelling at UE side. </w:t>
      </w:r>
    </w:p>
    <w:p w14:paraId="50A3016B" w14:textId="77777777" w:rsidR="00F07330" w:rsidRDefault="00F07330" w:rsidP="00F07330">
      <w:pPr>
        <w:jc w:val="both"/>
      </w:pPr>
    </w:p>
    <w:p w14:paraId="187A3F0A" w14:textId="59FD6E11" w:rsidR="00F07330" w:rsidRDefault="00F07330" w:rsidP="00F07330">
      <w:pPr>
        <w:jc w:val="both"/>
      </w:pPr>
      <w:r>
        <w:t>Two options of identifying the impacted cluster/ray and element-pair link were agreed for further study. In our view, the option of introducing the visibility probability/region of each cluster for a set of antennas is simple and the spatial consistency between neighbor antenna elements can be achieved with the continuous visibility region</w:t>
      </w:r>
      <w:r w:rsidR="002752F4">
        <w:t xml:space="preserve">. </w:t>
      </w:r>
    </w:p>
    <w:p w14:paraId="052A37C3" w14:textId="77777777" w:rsidR="00F07330" w:rsidRDefault="00F07330" w:rsidP="00F07330">
      <w:pPr>
        <w:jc w:val="both"/>
      </w:pPr>
    </w:p>
    <w:p w14:paraId="79E3C298" w14:textId="04F97F18" w:rsidR="002752F4" w:rsidRDefault="002752F4" w:rsidP="002752F4">
      <w:pPr>
        <w:jc w:val="both"/>
      </w:pPr>
      <w:r>
        <w:t xml:space="preserve">For the approach of visible probability (VP) or visibility region (VR), it was agreed that VP or VR is modelled per cluster. It is open on the ratio of UEs and clusters that have spatial non-stationarity feature. In our </w:t>
      </w:r>
      <w:r w:rsidRPr="002752F4">
        <w:t>view, whether a cluster has non-visible probability depends on the distance between TRP and cluster.</w:t>
      </w:r>
      <w:r w:rsidRPr="002752F4">
        <w:rPr>
          <w:i/>
          <w:iCs/>
        </w:rPr>
        <w:t xml:space="preserve"> </w:t>
      </w:r>
      <w:r w:rsidRPr="002752F4">
        <w:t>In general, the closer distance between TRP and cluster, the higher non-visible probability.</w:t>
      </w:r>
    </w:p>
    <w:p w14:paraId="5EF5BAEE" w14:textId="77777777" w:rsidR="002752F4" w:rsidRDefault="002752F4" w:rsidP="002752F4">
      <w:pPr>
        <w:jc w:val="both"/>
      </w:pPr>
    </w:p>
    <w:p w14:paraId="16888FE8" w14:textId="4813CB47" w:rsidR="002752F4" w:rsidRDefault="002752F4" w:rsidP="00655F47">
      <w:pPr>
        <w:jc w:val="both"/>
      </w:pPr>
      <w:r>
        <w:lastRenderedPageBreak/>
        <w:t xml:space="preserve">Furthermore, rectangle is considered as starting point for VR shape. There are three alternatives to determine the VR size. Among these alternatives, we prefer Alt 2, where </w:t>
      </w:r>
      <w:r w:rsidRPr="002752F4">
        <w:rPr>
          <w:szCs w:val="20"/>
        </w:rPr>
        <w:t xml:space="preserve">VR size is </w:t>
      </w:r>
      <w:r w:rsidRPr="002752F4">
        <w:rPr>
          <w:rFonts w:eastAsia="DengXian" w:hint="eastAsia"/>
          <w:szCs w:val="20"/>
        </w:rPr>
        <w:t>derived</w:t>
      </w:r>
      <w:r w:rsidRPr="002752F4">
        <w:rPr>
          <w:szCs w:val="20"/>
        </w:rPr>
        <w:t xml:space="preserve"> based on distance between antenna array </w:t>
      </w:r>
      <w:r w:rsidRPr="002752F4">
        <w:rPr>
          <w:rFonts w:eastAsia="DengXian" w:hint="eastAsia"/>
          <w:szCs w:val="20"/>
        </w:rPr>
        <w:t xml:space="preserve">of BS </w:t>
      </w:r>
      <w:r w:rsidRPr="002752F4">
        <w:rPr>
          <w:szCs w:val="20"/>
        </w:rPr>
        <w:t xml:space="preserve">and </w:t>
      </w:r>
      <w:r w:rsidRPr="002752F4">
        <w:rPr>
          <w:rFonts w:eastAsia="DengXian" w:hint="eastAsia"/>
          <w:szCs w:val="20"/>
        </w:rPr>
        <w:t>UE/cluster</w:t>
      </w:r>
      <w:r>
        <w:rPr>
          <w:rFonts w:eastAsia="DengXian"/>
          <w:szCs w:val="20"/>
        </w:rPr>
        <w:t xml:space="preserve">. </w:t>
      </w:r>
      <w:r>
        <w:t xml:space="preserve">In general, the closer distance between TRP and cluster, the higher non-visible probability and the larger non-visible region. </w:t>
      </w:r>
    </w:p>
    <w:p w14:paraId="410DEA43" w14:textId="77777777" w:rsidR="00655F47" w:rsidRDefault="00655F47" w:rsidP="00655F47">
      <w:pPr>
        <w:jc w:val="both"/>
      </w:pPr>
    </w:p>
    <w:p w14:paraId="4A5B9490" w14:textId="4BBB6DA3" w:rsidR="00655F47" w:rsidRPr="002E354C" w:rsidRDefault="00655F47" w:rsidP="00655F47">
      <w:pPr>
        <w:jc w:val="both"/>
        <w:rPr>
          <w:i/>
          <w:iCs/>
        </w:rPr>
      </w:pPr>
      <w:r w:rsidRPr="00D906A0">
        <w:rPr>
          <w:b/>
          <w:bCs/>
          <w:i/>
          <w:iCs/>
          <w:u w:val="single"/>
        </w:rPr>
        <w:t xml:space="preserve">Proposal </w:t>
      </w:r>
      <w:r w:rsidR="002752F4">
        <w:rPr>
          <w:b/>
          <w:bCs/>
          <w:i/>
          <w:iCs/>
          <w:u w:val="single"/>
        </w:rPr>
        <w:t>5</w:t>
      </w:r>
      <w:r w:rsidRPr="00D906A0">
        <w:rPr>
          <w:b/>
          <w:bCs/>
          <w:i/>
          <w:iCs/>
          <w:u w:val="single"/>
        </w:rPr>
        <w:t>:</w:t>
      </w:r>
      <w:r w:rsidRPr="00D906A0">
        <w:rPr>
          <w:i/>
          <w:iCs/>
        </w:rPr>
        <w:t xml:space="preserve"> </w:t>
      </w:r>
      <w:r w:rsidRPr="002E354C">
        <w:rPr>
          <w:i/>
          <w:iCs/>
        </w:rPr>
        <w:t>For the modelling of spatial non-stationarity</w:t>
      </w:r>
      <w:r>
        <w:rPr>
          <w:i/>
          <w:iCs/>
        </w:rPr>
        <w:t xml:space="preserve">, consider </w:t>
      </w:r>
      <w:r w:rsidRPr="002E354C">
        <w:rPr>
          <w:i/>
          <w:iCs/>
        </w:rPr>
        <w:t>adopt</w:t>
      </w:r>
      <w:r>
        <w:rPr>
          <w:i/>
          <w:iCs/>
        </w:rPr>
        <w:t>ing</w:t>
      </w:r>
      <w:r w:rsidRPr="002E354C">
        <w:rPr>
          <w:i/>
          <w:iCs/>
        </w:rPr>
        <w:t xml:space="preserve"> </w:t>
      </w:r>
      <w:r w:rsidR="002752F4">
        <w:rPr>
          <w:i/>
          <w:iCs/>
        </w:rPr>
        <w:t xml:space="preserve">the </w:t>
      </w:r>
      <w:r w:rsidRPr="002E354C">
        <w:rPr>
          <w:i/>
          <w:iCs/>
        </w:rPr>
        <w:t>visible probability</w:t>
      </w:r>
      <w:r w:rsidRPr="002E354C">
        <w:rPr>
          <w:rFonts w:eastAsia="DengXian"/>
          <w:i/>
          <w:iCs/>
        </w:rPr>
        <w:t xml:space="preserve"> </w:t>
      </w:r>
      <w:r w:rsidRPr="002E354C">
        <w:rPr>
          <w:i/>
          <w:iCs/>
        </w:rPr>
        <w:t>(VP) or visibility region</w:t>
      </w:r>
      <w:r w:rsidRPr="002E354C">
        <w:rPr>
          <w:rFonts w:eastAsia="DengXian"/>
          <w:i/>
          <w:iCs/>
        </w:rPr>
        <w:t xml:space="preserve"> </w:t>
      </w:r>
      <w:r w:rsidRPr="002E354C">
        <w:rPr>
          <w:i/>
          <w:iCs/>
        </w:rPr>
        <w:t>(VR)</w:t>
      </w:r>
      <w:r w:rsidR="002752F4">
        <w:rPr>
          <w:i/>
          <w:iCs/>
        </w:rPr>
        <w:t xml:space="preserve"> approach.</w:t>
      </w:r>
    </w:p>
    <w:p w14:paraId="2EEF5BD1" w14:textId="56286BCB" w:rsidR="00655F47" w:rsidRDefault="002752F4" w:rsidP="00E92EED">
      <w:pPr>
        <w:pStyle w:val="ListParagraph"/>
        <w:widowControl w:val="0"/>
        <w:numPr>
          <w:ilvl w:val="0"/>
          <w:numId w:val="57"/>
        </w:numPr>
        <w:tabs>
          <w:tab w:val="left" w:pos="840"/>
          <w:tab w:val="left" w:pos="1304"/>
          <w:tab w:val="left" w:pos="1440"/>
          <w:tab w:val="left" w:pos="2160"/>
        </w:tabs>
        <w:snapToGrid w:val="0"/>
        <w:ind w:left="720"/>
        <w:jc w:val="both"/>
        <w:rPr>
          <w:rFonts w:ascii="Times New Roman" w:hAnsi="Times New Roman"/>
          <w:i/>
          <w:iCs/>
          <w:sz w:val="24"/>
          <w:szCs w:val="24"/>
        </w:rPr>
      </w:pPr>
      <w:r>
        <w:rPr>
          <w:rFonts w:ascii="Times New Roman" w:hAnsi="Times New Roman"/>
          <w:i/>
          <w:iCs/>
          <w:sz w:val="24"/>
          <w:szCs w:val="24"/>
        </w:rPr>
        <w:t>VP</w:t>
      </w:r>
      <w:r w:rsidR="00655F47">
        <w:rPr>
          <w:rFonts w:ascii="Times New Roman" w:hAnsi="Times New Roman"/>
          <w:i/>
          <w:iCs/>
          <w:sz w:val="24"/>
          <w:szCs w:val="24"/>
        </w:rPr>
        <w:t xml:space="preserve"> and VR size depend on the distance between TRP and </w:t>
      </w:r>
      <w:r w:rsidR="00655F47" w:rsidRPr="00E92EED">
        <w:rPr>
          <w:rFonts w:ascii="Times New Roman" w:hAnsi="Times New Roman"/>
          <w:i/>
          <w:iCs/>
          <w:sz w:val="24"/>
          <w:szCs w:val="24"/>
        </w:rPr>
        <w:t>cluster</w:t>
      </w:r>
      <w:r>
        <w:rPr>
          <w:rFonts w:ascii="Times New Roman" w:hAnsi="Times New Roman"/>
          <w:i/>
          <w:iCs/>
          <w:sz w:val="24"/>
          <w:szCs w:val="24"/>
        </w:rPr>
        <w:t xml:space="preserve"> (i.e., Alt 2)</w:t>
      </w:r>
    </w:p>
    <w:p w14:paraId="391C116C" w14:textId="77777777" w:rsidR="002752F4" w:rsidRPr="002752F4" w:rsidRDefault="002752F4" w:rsidP="002752F4">
      <w:pPr>
        <w:pStyle w:val="ListParagraph"/>
        <w:widowControl w:val="0"/>
        <w:tabs>
          <w:tab w:val="left" w:pos="840"/>
          <w:tab w:val="left" w:pos="1304"/>
          <w:tab w:val="left" w:pos="1440"/>
          <w:tab w:val="left" w:pos="2160"/>
        </w:tabs>
        <w:snapToGrid w:val="0"/>
        <w:jc w:val="both"/>
        <w:rPr>
          <w:rFonts w:ascii="Times New Roman" w:hAnsi="Times New Roman"/>
          <w:i/>
          <w:iCs/>
          <w:sz w:val="24"/>
          <w:szCs w:val="24"/>
        </w:rPr>
      </w:pPr>
    </w:p>
    <w:p w14:paraId="317E5FB4" w14:textId="77777777" w:rsidR="002752F4" w:rsidRDefault="002752F4" w:rsidP="002752F4">
      <w:pPr>
        <w:jc w:val="both"/>
      </w:pPr>
      <w:r>
        <w:t xml:space="preserve">For the approach of VP or VR, it was agreed that a power attenuation factor within [0, 1] is introduced. It is open on the details of how to determine the power attenuation factor. In our view, the power attenuation factor is equal to the ratio of VR over the total number of TRP antennas. </w:t>
      </w:r>
    </w:p>
    <w:p w14:paraId="5FC55C9A" w14:textId="77777777" w:rsidR="002752F4" w:rsidRDefault="002752F4" w:rsidP="00E92EED">
      <w:pPr>
        <w:jc w:val="both"/>
      </w:pPr>
    </w:p>
    <w:p w14:paraId="495463DD" w14:textId="582A5B79" w:rsidR="002E354C" w:rsidRPr="002E354C" w:rsidRDefault="00E92EED" w:rsidP="00E92EED">
      <w:pPr>
        <w:jc w:val="both"/>
      </w:pPr>
      <w:r>
        <w:t>To support s</w:t>
      </w:r>
      <w:r w:rsidRPr="00457D24">
        <w:t>patial non-stationarity</w:t>
      </w:r>
      <w:r>
        <w:t xml:space="preserve">, we think the existing channel coefficient generation procedure as in TR 38.901 can be used, with the modifications on the step of “generate cluster power”. Specifically, if a cluster is in near-field of </w:t>
      </w:r>
      <w:r w:rsidR="00541188">
        <w:t>TRP</w:t>
      </w:r>
      <w:r>
        <w:t xml:space="preserve">, the cluster power is reduced to address the potential blockage issue. </w:t>
      </w:r>
    </w:p>
    <w:p w14:paraId="5474BB83" w14:textId="77777777" w:rsidR="00BA5DDD" w:rsidRPr="00BA5DDD" w:rsidRDefault="00BA5DDD" w:rsidP="00BA5DDD">
      <w:pPr>
        <w:jc w:val="both"/>
        <w:rPr>
          <w:i/>
          <w:iCs/>
        </w:rPr>
      </w:pPr>
    </w:p>
    <w:p w14:paraId="60AEB63C" w14:textId="40328F03" w:rsidR="002348E4" w:rsidRPr="00655F47" w:rsidRDefault="002E354C" w:rsidP="00B40DA5">
      <w:pPr>
        <w:jc w:val="both"/>
        <w:rPr>
          <w:i/>
          <w:iCs/>
        </w:rPr>
      </w:pPr>
      <w:r w:rsidRPr="00D906A0">
        <w:rPr>
          <w:b/>
          <w:bCs/>
          <w:i/>
          <w:iCs/>
          <w:u w:val="single"/>
        </w:rPr>
        <w:t xml:space="preserve">Proposal </w:t>
      </w:r>
      <w:r w:rsidR="002752F4">
        <w:rPr>
          <w:b/>
          <w:bCs/>
          <w:i/>
          <w:iCs/>
          <w:u w:val="single"/>
        </w:rPr>
        <w:t>6</w:t>
      </w:r>
      <w:r w:rsidRPr="00D906A0">
        <w:rPr>
          <w:b/>
          <w:bCs/>
          <w:i/>
          <w:iCs/>
          <w:u w:val="single"/>
        </w:rPr>
        <w:t>:</w:t>
      </w:r>
      <w:r w:rsidRPr="00D906A0">
        <w:rPr>
          <w:i/>
          <w:iCs/>
        </w:rPr>
        <w:t xml:space="preserve"> </w:t>
      </w:r>
      <w:r w:rsidRPr="002E354C">
        <w:rPr>
          <w:i/>
          <w:iCs/>
        </w:rPr>
        <w:t>For the modelling of spatial non-stationarity</w:t>
      </w:r>
      <w:r w:rsidR="002752F4">
        <w:rPr>
          <w:i/>
          <w:iCs/>
        </w:rPr>
        <w:t xml:space="preserve"> with the VP and VR approach</w:t>
      </w:r>
      <w:r>
        <w:rPr>
          <w:i/>
          <w:iCs/>
        </w:rPr>
        <w:t xml:space="preserve">, the power </w:t>
      </w:r>
      <w:r w:rsidR="002752F4">
        <w:rPr>
          <w:i/>
          <w:iCs/>
        </w:rPr>
        <w:t>attenuation factor</w:t>
      </w:r>
      <w:r>
        <w:rPr>
          <w:i/>
          <w:iCs/>
        </w:rPr>
        <w:t xml:space="preserve"> is </w:t>
      </w:r>
      <w:r w:rsidR="002752F4">
        <w:rPr>
          <w:i/>
          <w:iCs/>
        </w:rPr>
        <w:t>equal to VR</w:t>
      </w:r>
      <w:r w:rsidR="000A3BD7">
        <w:rPr>
          <w:i/>
          <w:iCs/>
        </w:rPr>
        <w:t xml:space="preserve"> over the total</w:t>
      </w:r>
      <w:r w:rsidR="002752F4">
        <w:rPr>
          <w:i/>
          <w:iCs/>
        </w:rPr>
        <w:t xml:space="preserve"> number of</w:t>
      </w:r>
      <w:r w:rsidR="000A3BD7">
        <w:rPr>
          <w:i/>
          <w:iCs/>
        </w:rPr>
        <w:t xml:space="preserve"> </w:t>
      </w:r>
      <w:r w:rsidR="00E92EED">
        <w:rPr>
          <w:i/>
          <w:iCs/>
        </w:rPr>
        <w:t xml:space="preserve">TRP </w:t>
      </w:r>
      <w:r w:rsidR="000A3BD7">
        <w:rPr>
          <w:i/>
          <w:iCs/>
        </w:rPr>
        <w:t>antenna</w:t>
      </w:r>
      <w:r w:rsidR="002752F4">
        <w:rPr>
          <w:i/>
          <w:iCs/>
        </w:rPr>
        <w:t>s</w:t>
      </w:r>
      <w:r w:rsidR="000A3BD7">
        <w:rPr>
          <w:i/>
          <w:iCs/>
        </w:rPr>
        <w:t xml:space="preserve">. </w:t>
      </w:r>
    </w:p>
    <w:p w14:paraId="5F94BF5E" w14:textId="77777777" w:rsidR="002348E4" w:rsidRPr="002348E4" w:rsidRDefault="002348E4" w:rsidP="002348E4"/>
    <w:p w14:paraId="2896E657" w14:textId="2DF29AD0" w:rsidR="00854A60" w:rsidRPr="00A6576F" w:rsidRDefault="009C5A97" w:rsidP="00FB330B">
      <w:pPr>
        <w:pStyle w:val="Heading1"/>
      </w:pPr>
      <w:r w:rsidRPr="00A6576F">
        <w:t>Conclusion</w:t>
      </w:r>
    </w:p>
    <w:p w14:paraId="7973EDF6" w14:textId="6E1D59BD" w:rsidR="0064641E" w:rsidRDefault="00A04318" w:rsidP="00BB4346">
      <w:pPr>
        <w:jc w:val="both"/>
      </w:pPr>
      <w:r>
        <w:t xml:space="preserve">In this contribution, </w:t>
      </w:r>
      <w:r w:rsidR="00F2767C">
        <w:t xml:space="preserve">we provided our views </w:t>
      </w:r>
      <w:r w:rsidR="00972C43">
        <w:t xml:space="preserve">on </w:t>
      </w:r>
      <w:r w:rsidR="005C0B47">
        <w:t xml:space="preserve">channel model </w:t>
      </w:r>
      <w:r w:rsidR="00457D24">
        <w:t>adaptation/extension</w:t>
      </w:r>
      <w:r w:rsidR="005C0B47">
        <w:t xml:space="preserve"> of TR</w:t>
      </w:r>
      <w:r w:rsidR="008E2905">
        <w:t xml:space="preserve"> </w:t>
      </w:r>
      <w:r w:rsidR="005C0B47">
        <w:t>38.901 for 7-24 GHz</w:t>
      </w:r>
      <w:r w:rsidR="00F2767C">
        <w:t xml:space="preserve">. </w:t>
      </w:r>
      <w:r>
        <w:t>Our</w:t>
      </w:r>
      <w:r w:rsidR="000D011A">
        <w:t xml:space="preserve"> </w:t>
      </w:r>
      <w:r>
        <w:t>proposals are as follows:</w:t>
      </w:r>
    </w:p>
    <w:p w14:paraId="51370257" w14:textId="77777777" w:rsidR="00655F47" w:rsidRDefault="00655F47" w:rsidP="00A9231D">
      <w:pPr>
        <w:jc w:val="both"/>
      </w:pPr>
    </w:p>
    <w:p w14:paraId="09F5ADF8" w14:textId="77777777" w:rsidR="002752F4" w:rsidRDefault="002752F4" w:rsidP="002752F4">
      <w:pPr>
        <w:jc w:val="both"/>
        <w:rPr>
          <w:i/>
          <w:iCs/>
        </w:rPr>
      </w:pPr>
      <w:r w:rsidRPr="002752F4">
        <w:rPr>
          <w:b/>
          <w:bCs/>
          <w:i/>
          <w:iCs/>
          <w:u w:val="single"/>
        </w:rPr>
        <w:t>Proposal 1:</w:t>
      </w:r>
      <w:r w:rsidRPr="002752F4">
        <w:rPr>
          <w:i/>
          <w:iCs/>
        </w:rPr>
        <w:t xml:space="preserve"> For near-field channel model study with direct path,</w:t>
      </w:r>
      <w:r>
        <w:rPr>
          <w:i/>
          <w:iCs/>
        </w:rPr>
        <w:t xml:space="preserve"> to model the </w:t>
      </w:r>
      <w:r w:rsidRPr="0022013E">
        <w:rPr>
          <w:i/>
          <w:iCs/>
        </w:rPr>
        <w:t>angular domain channel parameters</w:t>
      </w:r>
      <w:r>
        <w:rPr>
          <w:i/>
          <w:iCs/>
        </w:rPr>
        <w:t>,</w:t>
      </w:r>
      <w:r w:rsidRPr="0022013E">
        <w:rPr>
          <w:i/>
          <w:iCs/>
        </w:rPr>
        <w:t xml:space="preserve"> Doppler </w:t>
      </w:r>
      <w:r w:rsidRPr="001D3275">
        <w:rPr>
          <w:i/>
          <w:iCs/>
        </w:rPr>
        <w:t>shift and delay for each</w:t>
      </w:r>
      <w:r w:rsidRPr="0022013E">
        <w:rPr>
          <w:i/>
          <w:iCs/>
        </w:rPr>
        <w:t xml:space="preserve"> pair of TRP antenna element and UE</w:t>
      </w:r>
      <w:r>
        <w:rPr>
          <w:i/>
          <w:iCs/>
        </w:rPr>
        <w:t xml:space="preserve"> antenna element.</w:t>
      </w:r>
    </w:p>
    <w:p w14:paraId="280CB12C" w14:textId="071E6225" w:rsidR="002752F4" w:rsidRDefault="002752F4" w:rsidP="00A9231D">
      <w:pPr>
        <w:pStyle w:val="ListParagraph"/>
        <w:widowControl w:val="0"/>
        <w:numPr>
          <w:ilvl w:val="0"/>
          <w:numId w:val="48"/>
        </w:numPr>
        <w:tabs>
          <w:tab w:val="left" w:pos="1304"/>
          <w:tab w:val="left" w:pos="1440"/>
          <w:tab w:val="left" w:pos="2160"/>
        </w:tabs>
        <w:snapToGrid w:val="0"/>
        <w:ind w:left="720"/>
        <w:jc w:val="both"/>
      </w:pPr>
      <w:r w:rsidRPr="0022013E">
        <w:rPr>
          <w:rFonts w:ascii="Times New Roman" w:hAnsi="Times New Roman"/>
          <w:i/>
          <w:iCs/>
          <w:sz w:val="24"/>
          <w:szCs w:val="24"/>
        </w:rPr>
        <w:t>No changes on the parameter value</w:t>
      </w:r>
    </w:p>
    <w:p w14:paraId="4128D565" w14:textId="77777777" w:rsidR="002752F4" w:rsidRDefault="002752F4" w:rsidP="002752F4">
      <w:pPr>
        <w:jc w:val="both"/>
        <w:rPr>
          <w:noProof/>
        </w:rPr>
      </w:pPr>
    </w:p>
    <w:p w14:paraId="568F4866" w14:textId="77777777" w:rsidR="002752F4" w:rsidRDefault="002752F4" w:rsidP="002752F4">
      <w:pPr>
        <w:jc w:val="both"/>
        <w:rPr>
          <w:i/>
          <w:iCs/>
          <w:noProof/>
        </w:rPr>
      </w:pPr>
      <w:r w:rsidRPr="00D906A0">
        <w:rPr>
          <w:b/>
          <w:bCs/>
          <w:i/>
          <w:iCs/>
          <w:u w:val="single"/>
        </w:rPr>
        <w:t xml:space="preserve">Proposal </w:t>
      </w:r>
      <w:r>
        <w:rPr>
          <w:b/>
          <w:bCs/>
          <w:i/>
          <w:iCs/>
          <w:u w:val="single"/>
        </w:rPr>
        <w:t>2</w:t>
      </w:r>
      <w:r w:rsidRPr="00D906A0">
        <w:rPr>
          <w:b/>
          <w:bCs/>
          <w:i/>
          <w:iCs/>
          <w:u w:val="single"/>
        </w:rPr>
        <w:t>:</w:t>
      </w:r>
      <w:r w:rsidRPr="00D906A0">
        <w:rPr>
          <w:i/>
          <w:iCs/>
        </w:rPr>
        <w:t xml:space="preserve"> </w:t>
      </w:r>
      <w:r>
        <w:rPr>
          <w:i/>
          <w:iCs/>
        </w:rPr>
        <w:t xml:space="preserve">For near-field channel model study with non-direct path, the phase between TRP antenna element s and UE </w:t>
      </w:r>
      <w:r w:rsidRPr="00DE4DC4">
        <w:rPr>
          <w:i/>
          <w:iCs/>
        </w:rPr>
        <w:t>antenna element</w:t>
      </w:r>
      <w:r>
        <w:rPr>
          <w:i/>
          <w:iCs/>
        </w:rPr>
        <w:t xml:space="preserve"> u</w:t>
      </w:r>
      <w:r w:rsidRPr="00DE4DC4">
        <w:rPr>
          <w:i/>
          <w:iCs/>
        </w:rPr>
        <w:t xml:space="preserve"> is given </w:t>
      </w:r>
      <w:r w:rsidRPr="00CE0CA1">
        <w:rPr>
          <w:i/>
          <w:iCs/>
        </w:rPr>
        <w:t xml:space="preserve">by </w:t>
      </w:r>
      <m:oMath>
        <m:r>
          <w:rPr>
            <w:rFonts w:ascii="Cambria Math" w:hAnsi="Cambria Math"/>
            <w:noProof/>
          </w:rPr>
          <m:t>exp</m:t>
        </m:r>
        <m:d>
          <m:dPr>
            <m:ctrlPr>
              <w:rPr>
                <w:rFonts w:ascii="Cambria Math" w:hAnsi="Cambria Math"/>
                <w:i/>
                <w:iCs/>
                <w:noProof/>
              </w:rPr>
            </m:ctrlPr>
          </m:dPr>
          <m:e>
            <m:r>
              <w:rPr>
                <w:rFonts w:ascii="Cambria Math" w:hAnsi="Cambria Math"/>
                <w:noProof/>
              </w:rPr>
              <m:t>j2π</m:t>
            </m:r>
            <m:f>
              <m:fPr>
                <m:ctrlPr>
                  <w:rPr>
                    <w:rFonts w:ascii="Cambria Math" w:hAnsi="Cambria Math"/>
                    <w:i/>
                    <w:iCs/>
                    <w:noProof/>
                  </w:rPr>
                </m:ctrlPr>
              </m:fPr>
              <m:num>
                <m:sSubSup>
                  <m:sSubSupPr>
                    <m:ctrlPr>
                      <w:rPr>
                        <w:rFonts w:ascii="Cambria Math" w:hAnsi="Cambria Math"/>
                        <w:i/>
                        <w:iCs/>
                        <w:noProof/>
                      </w:rPr>
                    </m:ctrlPr>
                  </m:sSubSupPr>
                  <m:e>
                    <m:acc>
                      <m:accPr>
                        <m:ctrlPr>
                          <w:rPr>
                            <w:rFonts w:ascii="Cambria Math" w:hAnsi="Cambria Math"/>
                            <w:i/>
                            <w:iCs/>
                            <w:noProof/>
                          </w:rPr>
                        </m:ctrlPr>
                      </m:accPr>
                      <m:e>
                        <m:r>
                          <w:rPr>
                            <w:rFonts w:ascii="Cambria Math" w:hAnsi="Cambria Math"/>
                            <w:noProof/>
                          </w:rPr>
                          <m:t>r</m:t>
                        </m:r>
                      </m:e>
                    </m:acc>
                  </m:e>
                  <m:sub>
                    <m:r>
                      <w:rPr>
                        <w:rFonts w:ascii="Cambria Math" w:hAnsi="Cambria Math"/>
                        <w:noProof/>
                      </w:rPr>
                      <m:t>rx, n,m,u,s</m:t>
                    </m:r>
                  </m:sub>
                  <m:sup>
                    <m:r>
                      <w:rPr>
                        <w:rFonts w:ascii="Cambria Math" w:hAnsi="Cambria Math"/>
                        <w:noProof/>
                      </w:rPr>
                      <m:t>T</m:t>
                    </m:r>
                  </m:sup>
                </m:sSubSup>
                <m:r>
                  <w:rPr>
                    <w:rFonts w:ascii="Cambria Math" w:hAnsi="Cambria Math"/>
                    <w:noProof/>
                  </w:rPr>
                  <m:t>⋅</m:t>
                </m:r>
                <m:sSub>
                  <m:sSubPr>
                    <m:ctrlPr>
                      <w:rPr>
                        <w:rFonts w:ascii="Cambria Math" w:hAnsi="Cambria Math"/>
                        <w:i/>
                        <w:noProof/>
                      </w:rPr>
                    </m:ctrlPr>
                  </m:sSubPr>
                  <m:e>
                    <m:acc>
                      <m:accPr>
                        <m:chr m:val="̅"/>
                        <m:ctrlPr>
                          <w:rPr>
                            <w:rFonts w:ascii="Cambria Math" w:hAnsi="Cambria Math"/>
                            <w:i/>
                            <w:noProof/>
                          </w:rPr>
                        </m:ctrlPr>
                      </m:accPr>
                      <m:e>
                        <m:r>
                          <w:rPr>
                            <w:rFonts w:ascii="Cambria Math" w:hAnsi="Cambria Math"/>
                            <w:noProof/>
                          </w:rPr>
                          <m:t>d</m:t>
                        </m:r>
                      </m:e>
                    </m:acc>
                  </m:e>
                  <m:sub>
                    <m:r>
                      <w:rPr>
                        <w:rFonts w:ascii="Cambria Math" w:hAnsi="Cambria Math"/>
                        <w:noProof/>
                      </w:rPr>
                      <m:t>rx,s</m:t>
                    </m:r>
                  </m:sub>
                </m:sSub>
              </m:num>
              <m:den>
                <m:sSub>
                  <m:sSubPr>
                    <m:ctrlPr>
                      <w:rPr>
                        <w:rFonts w:ascii="Cambria Math" w:hAnsi="Cambria Math"/>
                        <w:i/>
                        <w:iCs/>
                        <w:noProof/>
                      </w:rPr>
                    </m:ctrlPr>
                  </m:sSubPr>
                  <m:e>
                    <m:r>
                      <w:rPr>
                        <w:rFonts w:ascii="Cambria Math" w:hAnsi="Cambria Math"/>
                        <w:noProof/>
                      </w:rPr>
                      <m:t>λ</m:t>
                    </m:r>
                  </m:e>
                  <m:sub>
                    <m:r>
                      <w:rPr>
                        <w:rFonts w:ascii="Cambria Math" w:hAnsi="Cambria Math"/>
                        <w:noProof/>
                      </w:rPr>
                      <m:t>0</m:t>
                    </m:r>
                  </m:sub>
                </m:sSub>
              </m:den>
            </m:f>
          </m:e>
        </m:d>
        <m:r>
          <w:rPr>
            <w:rFonts w:ascii="Cambria Math" w:hAnsi="Cambria Math"/>
            <w:noProof/>
          </w:rPr>
          <m:t>⋅exp</m:t>
        </m:r>
        <m:d>
          <m:dPr>
            <m:ctrlPr>
              <w:rPr>
                <w:rFonts w:ascii="Cambria Math" w:hAnsi="Cambria Math"/>
                <w:i/>
                <w:iCs/>
                <w:noProof/>
              </w:rPr>
            </m:ctrlPr>
          </m:dPr>
          <m:e>
            <m:r>
              <w:rPr>
                <w:rFonts w:ascii="Cambria Math" w:hAnsi="Cambria Math"/>
                <w:noProof/>
              </w:rPr>
              <m:t>j2π</m:t>
            </m:r>
            <m:f>
              <m:fPr>
                <m:ctrlPr>
                  <w:rPr>
                    <w:rFonts w:ascii="Cambria Math" w:hAnsi="Cambria Math"/>
                    <w:i/>
                    <w:iCs/>
                    <w:noProof/>
                  </w:rPr>
                </m:ctrlPr>
              </m:fPr>
              <m:num>
                <m:sSubSup>
                  <m:sSubSupPr>
                    <m:ctrlPr>
                      <w:rPr>
                        <w:rFonts w:ascii="Cambria Math" w:hAnsi="Cambria Math"/>
                        <w:i/>
                        <w:iCs/>
                        <w:noProof/>
                      </w:rPr>
                    </m:ctrlPr>
                  </m:sSubSupPr>
                  <m:e>
                    <m:acc>
                      <m:accPr>
                        <m:ctrlPr>
                          <w:rPr>
                            <w:rFonts w:ascii="Cambria Math" w:hAnsi="Cambria Math"/>
                            <w:i/>
                            <w:iCs/>
                            <w:noProof/>
                          </w:rPr>
                        </m:ctrlPr>
                      </m:accPr>
                      <m:e>
                        <m:r>
                          <w:rPr>
                            <w:rFonts w:ascii="Cambria Math" w:hAnsi="Cambria Math"/>
                            <w:noProof/>
                          </w:rPr>
                          <m:t>r</m:t>
                        </m:r>
                      </m:e>
                    </m:acc>
                  </m:e>
                  <m:sub>
                    <m:r>
                      <w:rPr>
                        <w:rFonts w:ascii="Cambria Math" w:hAnsi="Cambria Math"/>
                        <w:noProof/>
                      </w:rPr>
                      <m:t>tx, n,m,u,s</m:t>
                    </m:r>
                  </m:sub>
                  <m:sup>
                    <m:r>
                      <w:rPr>
                        <w:rFonts w:ascii="Cambria Math" w:hAnsi="Cambria Math"/>
                        <w:noProof/>
                      </w:rPr>
                      <m:t>T</m:t>
                    </m:r>
                  </m:sup>
                </m:sSubSup>
                <m:r>
                  <w:rPr>
                    <w:rFonts w:ascii="Cambria Math" w:hAnsi="Cambria Math"/>
                    <w:noProof/>
                  </w:rPr>
                  <m:t>⋅</m:t>
                </m:r>
                <m:sSub>
                  <m:sSubPr>
                    <m:ctrlPr>
                      <w:rPr>
                        <w:rFonts w:ascii="Cambria Math" w:hAnsi="Cambria Math"/>
                        <w:i/>
                        <w:iCs/>
                        <w:noProof/>
                      </w:rPr>
                    </m:ctrlPr>
                  </m:sSubPr>
                  <m:e>
                    <m:acc>
                      <m:accPr>
                        <m:chr m:val="̅"/>
                        <m:ctrlPr>
                          <w:rPr>
                            <w:rFonts w:ascii="Cambria Math" w:hAnsi="Cambria Math"/>
                            <w:i/>
                            <w:iCs/>
                            <w:noProof/>
                          </w:rPr>
                        </m:ctrlPr>
                      </m:accPr>
                      <m:e>
                        <m:r>
                          <w:rPr>
                            <w:rFonts w:ascii="Cambria Math" w:hAnsi="Cambria Math"/>
                            <w:noProof/>
                          </w:rPr>
                          <m:t>d</m:t>
                        </m:r>
                      </m:e>
                    </m:acc>
                  </m:e>
                  <m:sub>
                    <m:r>
                      <w:rPr>
                        <w:rFonts w:ascii="Cambria Math" w:hAnsi="Cambria Math"/>
                        <w:noProof/>
                      </w:rPr>
                      <m:t>tx,u</m:t>
                    </m:r>
                  </m:sub>
                </m:sSub>
              </m:num>
              <m:den>
                <m:sSub>
                  <m:sSubPr>
                    <m:ctrlPr>
                      <w:rPr>
                        <w:rFonts w:ascii="Cambria Math" w:hAnsi="Cambria Math"/>
                        <w:i/>
                        <w:iCs/>
                        <w:noProof/>
                      </w:rPr>
                    </m:ctrlPr>
                  </m:sSubPr>
                  <m:e>
                    <m:r>
                      <w:rPr>
                        <w:rFonts w:ascii="Cambria Math" w:hAnsi="Cambria Math"/>
                        <w:noProof/>
                      </w:rPr>
                      <m:t>λ</m:t>
                    </m:r>
                  </m:e>
                  <m:sub>
                    <m:r>
                      <w:rPr>
                        <w:rFonts w:ascii="Cambria Math" w:hAnsi="Cambria Math"/>
                        <w:noProof/>
                      </w:rPr>
                      <m:t>0</m:t>
                    </m:r>
                  </m:sub>
                </m:sSub>
              </m:den>
            </m:f>
          </m:e>
        </m:d>
      </m:oMath>
      <w:r w:rsidRPr="00CE0CA1">
        <w:rPr>
          <w:i/>
          <w:iCs/>
          <w:noProof/>
        </w:rPr>
        <w:t>, where</w:t>
      </w:r>
    </w:p>
    <w:p w14:paraId="51D9608C" w14:textId="77777777" w:rsidR="002752F4" w:rsidRDefault="002752F4" w:rsidP="002752F4">
      <w:pPr>
        <w:jc w:val="center"/>
        <w:rPr>
          <w:iCs/>
          <w:noProof/>
        </w:rPr>
      </w:pPr>
      <w:r w:rsidRPr="00CE0CA1">
        <w:rPr>
          <w:noProof/>
        </w:rPr>
        <w:t xml:space="preserve"> </w:t>
      </w:r>
      <m:oMath>
        <m:sSubSup>
          <m:sSubSupPr>
            <m:ctrlPr>
              <w:rPr>
                <w:rFonts w:ascii="Cambria Math" w:hAnsi="Cambria Math"/>
                <w:i/>
                <w:iCs/>
                <w:noProof/>
              </w:rPr>
            </m:ctrlPr>
          </m:sSubSupPr>
          <m:e>
            <m:acc>
              <m:accPr>
                <m:ctrlPr>
                  <w:rPr>
                    <w:rFonts w:ascii="Cambria Math" w:hAnsi="Cambria Math"/>
                    <w:i/>
                    <w:iCs/>
                    <w:noProof/>
                  </w:rPr>
                </m:ctrlPr>
              </m:accPr>
              <m:e>
                <m:r>
                  <w:rPr>
                    <w:rFonts w:ascii="Cambria Math" w:hAnsi="Cambria Math"/>
                    <w:noProof/>
                  </w:rPr>
                  <m:t>r</m:t>
                </m:r>
              </m:e>
            </m:acc>
          </m:e>
          <m:sub>
            <m:r>
              <w:rPr>
                <w:rFonts w:ascii="Cambria Math" w:hAnsi="Cambria Math"/>
                <w:noProof/>
              </w:rPr>
              <m:t>rx, n,m,u,s</m:t>
            </m:r>
          </m:sub>
          <m:sup>
            <m:r>
              <w:rPr>
                <w:rFonts w:ascii="Cambria Math" w:hAnsi="Cambria Math"/>
                <w:noProof/>
              </w:rPr>
              <m:t>T</m:t>
            </m:r>
          </m:sup>
        </m:sSubSup>
        <m:r>
          <w:rPr>
            <w:rFonts w:ascii="Cambria Math" w:hAnsi="Cambria Math"/>
            <w:noProof/>
          </w:rPr>
          <m:t>=</m:t>
        </m:r>
        <m:d>
          <m:dPr>
            <m:begChr m:val="["/>
            <m:endChr m:val="]"/>
            <m:ctrlPr>
              <w:rPr>
                <w:rFonts w:ascii="Cambria Math" w:hAnsi="Cambria Math"/>
                <w:i/>
                <w:iCs/>
                <w:noProof/>
              </w:rPr>
            </m:ctrlPr>
          </m:dPr>
          <m:e>
            <m:m>
              <m:mPr>
                <m:mcs>
                  <m:mc>
                    <m:mcPr>
                      <m:count m:val="1"/>
                      <m:mcJc m:val="center"/>
                    </m:mcPr>
                  </m:mc>
                </m:mcs>
                <m:ctrlPr>
                  <w:rPr>
                    <w:rFonts w:ascii="Cambria Math" w:hAnsi="Cambria Math"/>
                    <w:i/>
                    <w:iCs/>
                    <w:noProof/>
                  </w:rPr>
                </m:ctrlPr>
              </m:mPr>
              <m:mr>
                <m:e>
                  <m:r>
                    <w:rPr>
                      <w:rFonts w:ascii="Cambria Math" w:hAnsi="Cambria Math"/>
                      <w:noProof/>
                    </w:rPr>
                    <m:t>sin</m:t>
                  </m:r>
                  <m:sSub>
                    <m:sSubPr>
                      <m:ctrlPr>
                        <w:rPr>
                          <w:rFonts w:ascii="Cambria Math" w:hAnsi="Cambria Math"/>
                          <w:i/>
                          <w:iCs/>
                          <w:noProof/>
                        </w:rPr>
                      </m:ctrlPr>
                    </m:sSubPr>
                    <m:e>
                      <m:r>
                        <w:rPr>
                          <w:rFonts w:ascii="Cambria Math" w:hAnsi="Cambria Math"/>
                          <w:noProof/>
                        </w:rPr>
                        <m:t>θ</m:t>
                      </m:r>
                    </m:e>
                    <m:sub>
                      <m:r>
                        <w:rPr>
                          <w:rFonts w:ascii="Cambria Math" w:hAnsi="Cambria Math"/>
                          <w:noProof/>
                        </w:rPr>
                        <m:t>n,m,u, s, ZOA</m:t>
                      </m:r>
                    </m:sub>
                  </m:sSub>
                  <m:r>
                    <w:rPr>
                      <w:rFonts w:ascii="Cambria Math" w:hAnsi="Cambria Math"/>
                      <w:noProof/>
                    </w:rPr>
                    <m:t>⋅cos</m:t>
                  </m:r>
                  <m:sSub>
                    <m:sSubPr>
                      <m:ctrlPr>
                        <w:rPr>
                          <w:rFonts w:ascii="Cambria Math" w:hAnsi="Cambria Math"/>
                          <w:i/>
                          <w:iCs/>
                          <w:noProof/>
                        </w:rPr>
                      </m:ctrlPr>
                    </m:sSubPr>
                    <m:e>
                      <m:r>
                        <w:rPr>
                          <w:rFonts w:ascii="Cambria Math" w:hAnsi="Cambria Math"/>
                          <w:noProof/>
                        </w:rPr>
                        <m:t>ϕ</m:t>
                      </m:r>
                    </m:e>
                    <m:sub>
                      <m:sSub>
                        <m:sSubPr>
                          <m:ctrlPr>
                            <w:rPr>
                              <w:rFonts w:ascii="Cambria Math" w:hAnsi="Cambria Math"/>
                              <w:i/>
                              <w:iCs/>
                              <w:noProof/>
                            </w:rPr>
                          </m:ctrlPr>
                        </m:sSubPr>
                        <m:e>
                          <m:r>
                            <w:rPr>
                              <w:rFonts w:ascii="Cambria Math" w:hAnsi="Cambria Math"/>
                              <w:noProof/>
                            </w:rPr>
                            <m:t>θ</m:t>
                          </m:r>
                        </m:e>
                        <m:sub>
                          <m:r>
                            <w:rPr>
                              <w:rFonts w:ascii="Cambria Math" w:hAnsi="Cambria Math"/>
                              <w:noProof/>
                            </w:rPr>
                            <m:t>n,m,u, s, AOA</m:t>
                          </m:r>
                        </m:sub>
                      </m:sSub>
                    </m:sub>
                  </m:sSub>
                </m:e>
              </m:mr>
              <m:mr>
                <m:e>
                  <m:r>
                    <w:rPr>
                      <w:rFonts w:ascii="Cambria Math" w:hAnsi="Cambria Math"/>
                      <w:noProof/>
                    </w:rPr>
                    <m:t>sin</m:t>
                  </m:r>
                  <m:sSub>
                    <m:sSubPr>
                      <m:ctrlPr>
                        <w:rPr>
                          <w:rFonts w:ascii="Cambria Math" w:hAnsi="Cambria Math"/>
                          <w:i/>
                          <w:iCs/>
                          <w:noProof/>
                        </w:rPr>
                      </m:ctrlPr>
                    </m:sSubPr>
                    <m:e>
                      <m:r>
                        <w:rPr>
                          <w:rFonts w:ascii="Cambria Math" w:hAnsi="Cambria Math"/>
                          <w:noProof/>
                        </w:rPr>
                        <m:t>θ</m:t>
                      </m:r>
                    </m:e>
                    <m:sub>
                      <m:r>
                        <w:rPr>
                          <w:rFonts w:ascii="Cambria Math" w:hAnsi="Cambria Math"/>
                          <w:noProof/>
                        </w:rPr>
                        <m:t>n,m,u, s, ZOA</m:t>
                      </m:r>
                    </m:sub>
                  </m:sSub>
                  <m:r>
                    <w:rPr>
                      <w:rFonts w:ascii="Cambria Math" w:hAnsi="Cambria Math"/>
                      <w:noProof/>
                    </w:rPr>
                    <m:t>⋅sin</m:t>
                  </m:r>
                  <m:sSub>
                    <m:sSubPr>
                      <m:ctrlPr>
                        <w:rPr>
                          <w:rFonts w:ascii="Cambria Math" w:hAnsi="Cambria Math"/>
                          <w:i/>
                          <w:iCs/>
                          <w:noProof/>
                        </w:rPr>
                      </m:ctrlPr>
                    </m:sSubPr>
                    <m:e>
                      <m:r>
                        <w:rPr>
                          <w:rFonts w:ascii="Cambria Math" w:hAnsi="Cambria Math"/>
                          <w:noProof/>
                        </w:rPr>
                        <m:t>ϕ</m:t>
                      </m:r>
                    </m:e>
                    <m:sub>
                      <m:sSub>
                        <m:sSubPr>
                          <m:ctrlPr>
                            <w:rPr>
                              <w:rFonts w:ascii="Cambria Math" w:hAnsi="Cambria Math"/>
                              <w:i/>
                              <w:iCs/>
                              <w:noProof/>
                            </w:rPr>
                          </m:ctrlPr>
                        </m:sSubPr>
                        <m:e>
                          <m:r>
                            <w:rPr>
                              <w:rFonts w:ascii="Cambria Math" w:hAnsi="Cambria Math"/>
                              <w:noProof/>
                            </w:rPr>
                            <m:t>θ</m:t>
                          </m:r>
                        </m:e>
                        <m:sub>
                          <m:r>
                            <w:rPr>
                              <w:rFonts w:ascii="Cambria Math" w:hAnsi="Cambria Math"/>
                              <w:noProof/>
                            </w:rPr>
                            <m:t>n,m,u, s, AOA</m:t>
                          </m:r>
                        </m:sub>
                      </m:sSub>
                    </m:sub>
                  </m:sSub>
                </m:e>
              </m:mr>
              <m:mr>
                <m:e>
                  <m:r>
                    <w:rPr>
                      <w:rFonts w:ascii="Cambria Math" w:hAnsi="Cambria Math"/>
                      <w:noProof/>
                    </w:rPr>
                    <m:t>cos</m:t>
                  </m:r>
                  <m:sSub>
                    <m:sSubPr>
                      <m:ctrlPr>
                        <w:rPr>
                          <w:rFonts w:ascii="Cambria Math" w:hAnsi="Cambria Math"/>
                          <w:i/>
                          <w:iCs/>
                          <w:noProof/>
                        </w:rPr>
                      </m:ctrlPr>
                    </m:sSubPr>
                    <m:e>
                      <m:r>
                        <w:rPr>
                          <w:rFonts w:ascii="Cambria Math" w:hAnsi="Cambria Math"/>
                          <w:noProof/>
                        </w:rPr>
                        <m:t>θ</m:t>
                      </m:r>
                    </m:e>
                    <m:sub>
                      <m:r>
                        <w:rPr>
                          <w:rFonts w:ascii="Cambria Math" w:hAnsi="Cambria Math"/>
                          <w:noProof/>
                        </w:rPr>
                        <m:t>n,m,u, s, ZOA</m:t>
                      </m:r>
                    </m:sub>
                  </m:sSub>
                </m:e>
              </m:mr>
            </m:m>
          </m:e>
        </m:d>
      </m:oMath>
      <w:r>
        <w:rPr>
          <w:iCs/>
          <w:noProof/>
        </w:rPr>
        <w:t xml:space="preserve">, </w:t>
      </w:r>
      <w:r w:rsidRPr="002752F4">
        <w:rPr>
          <w:i/>
          <w:noProof/>
        </w:rPr>
        <w:t>and</w:t>
      </w:r>
    </w:p>
    <w:p w14:paraId="1B59BF7E" w14:textId="77777777" w:rsidR="002752F4" w:rsidRPr="000F5F05" w:rsidRDefault="00000000" w:rsidP="002752F4">
      <w:pPr>
        <w:jc w:val="center"/>
        <w:rPr>
          <w:i/>
          <w:iCs/>
          <w:noProof/>
        </w:rPr>
      </w:pPr>
      <m:oMath>
        <m:sSubSup>
          <m:sSubSupPr>
            <m:ctrlPr>
              <w:rPr>
                <w:rFonts w:ascii="Cambria Math" w:hAnsi="Cambria Math"/>
                <w:i/>
                <w:iCs/>
                <w:noProof/>
              </w:rPr>
            </m:ctrlPr>
          </m:sSubSupPr>
          <m:e>
            <m:acc>
              <m:accPr>
                <m:ctrlPr>
                  <w:rPr>
                    <w:rFonts w:ascii="Cambria Math" w:hAnsi="Cambria Math"/>
                    <w:i/>
                    <w:iCs/>
                    <w:noProof/>
                  </w:rPr>
                </m:ctrlPr>
              </m:accPr>
              <m:e>
                <m:r>
                  <w:rPr>
                    <w:rFonts w:ascii="Cambria Math" w:hAnsi="Cambria Math"/>
                    <w:noProof/>
                  </w:rPr>
                  <m:t>r</m:t>
                </m:r>
              </m:e>
            </m:acc>
          </m:e>
          <m:sub>
            <m:r>
              <w:rPr>
                <w:rFonts w:ascii="Cambria Math" w:hAnsi="Cambria Math"/>
                <w:noProof/>
              </w:rPr>
              <m:t>tx, n,m,u,s</m:t>
            </m:r>
          </m:sub>
          <m:sup>
            <m:r>
              <w:rPr>
                <w:rFonts w:ascii="Cambria Math" w:hAnsi="Cambria Math"/>
                <w:noProof/>
              </w:rPr>
              <m:t>T</m:t>
            </m:r>
          </m:sup>
        </m:sSubSup>
        <m:r>
          <w:rPr>
            <w:rFonts w:ascii="Cambria Math" w:hAnsi="Cambria Math"/>
            <w:noProof/>
          </w:rPr>
          <m:t>=</m:t>
        </m:r>
        <m:d>
          <m:dPr>
            <m:begChr m:val="["/>
            <m:endChr m:val="]"/>
            <m:ctrlPr>
              <w:rPr>
                <w:rFonts w:ascii="Cambria Math" w:hAnsi="Cambria Math"/>
                <w:i/>
                <w:iCs/>
                <w:noProof/>
              </w:rPr>
            </m:ctrlPr>
          </m:dPr>
          <m:e>
            <m:m>
              <m:mPr>
                <m:mcs>
                  <m:mc>
                    <m:mcPr>
                      <m:count m:val="1"/>
                      <m:mcJc m:val="center"/>
                    </m:mcPr>
                  </m:mc>
                </m:mcs>
                <m:ctrlPr>
                  <w:rPr>
                    <w:rFonts w:ascii="Cambria Math" w:hAnsi="Cambria Math"/>
                    <w:i/>
                    <w:iCs/>
                    <w:noProof/>
                  </w:rPr>
                </m:ctrlPr>
              </m:mPr>
              <m:mr>
                <m:e>
                  <m:r>
                    <w:rPr>
                      <w:rFonts w:ascii="Cambria Math" w:hAnsi="Cambria Math"/>
                      <w:noProof/>
                    </w:rPr>
                    <m:t>sin</m:t>
                  </m:r>
                  <m:sSub>
                    <m:sSubPr>
                      <m:ctrlPr>
                        <w:rPr>
                          <w:rFonts w:ascii="Cambria Math" w:hAnsi="Cambria Math"/>
                          <w:i/>
                          <w:iCs/>
                          <w:noProof/>
                        </w:rPr>
                      </m:ctrlPr>
                    </m:sSubPr>
                    <m:e>
                      <m:r>
                        <w:rPr>
                          <w:rFonts w:ascii="Cambria Math" w:hAnsi="Cambria Math"/>
                          <w:noProof/>
                        </w:rPr>
                        <m:t>θ</m:t>
                      </m:r>
                    </m:e>
                    <m:sub>
                      <m:r>
                        <w:rPr>
                          <w:rFonts w:ascii="Cambria Math" w:hAnsi="Cambria Math"/>
                          <w:noProof/>
                        </w:rPr>
                        <m:t>n,m,u, s, ZOD</m:t>
                      </m:r>
                    </m:sub>
                  </m:sSub>
                  <m:r>
                    <w:rPr>
                      <w:rFonts w:ascii="Cambria Math" w:hAnsi="Cambria Math"/>
                      <w:noProof/>
                    </w:rPr>
                    <m:t>⋅cos</m:t>
                  </m:r>
                  <m:sSub>
                    <m:sSubPr>
                      <m:ctrlPr>
                        <w:rPr>
                          <w:rFonts w:ascii="Cambria Math" w:hAnsi="Cambria Math"/>
                          <w:i/>
                          <w:iCs/>
                          <w:noProof/>
                        </w:rPr>
                      </m:ctrlPr>
                    </m:sSubPr>
                    <m:e>
                      <m:r>
                        <w:rPr>
                          <w:rFonts w:ascii="Cambria Math" w:hAnsi="Cambria Math"/>
                          <w:noProof/>
                        </w:rPr>
                        <m:t>ϕ</m:t>
                      </m:r>
                    </m:e>
                    <m:sub>
                      <m:sSub>
                        <m:sSubPr>
                          <m:ctrlPr>
                            <w:rPr>
                              <w:rFonts w:ascii="Cambria Math" w:hAnsi="Cambria Math"/>
                              <w:i/>
                              <w:iCs/>
                              <w:noProof/>
                            </w:rPr>
                          </m:ctrlPr>
                        </m:sSubPr>
                        <m:e>
                          <m:r>
                            <w:rPr>
                              <w:rFonts w:ascii="Cambria Math" w:hAnsi="Cambria Math"/>
                              <w:noProof/>
                            </w:rPr>
                            <m:t>θ</m:t>
                          </m:r>
                        </m:e>
                        <m:sub>
                          <m:r>
                            <w:rPr>
                              <w:rFonts w:ascii="Cambria Math" w:hAnsi="Cambria Math"/>
                              <w:noProof/>
                            </w:rPr>
                            <m:t>n,m,u, s, AOD</m:t>
                          </m:r>
                        </m:sub>
                      </m:sSub>
                    </m:sub>
                  </m:sSub>
                </m:e>
              </m:mr>
              <m:mr>
                <m:e>
                  <m:r>
                    <w:rPr>
                      <w:rFonts w:ascii="Cambria Math" w:hAnsi="Cambria Math"/>
                      <w:noProof/>
                    </w:rPr>
                    <m:t>sin</m:t>
                  </m:r>
                  <m:sSub>
                    <m:sSubPr>
                      <m:ctrlPr>
                        <w:rPr>
                          <w:rFonts w:ascii="Cambria Math" w:hAnsi="Cambria Math"/>
                          <w:i/>
                          <w:iCs/>
                          <w:noProof/>
                        </w:rPr>
                      </m:ctrlPr>
                    </m:sSubPr>
                    <m:e>
                      <m:r>
                        <w:rPr>
                          <w:rFonts w:ascii="Cambria Math" w:hAnsi="Cambria Math"/>
                          <w:noProof/>
                        </w:rPr>
                        <m:t>θ</m:t>
                      </m:r>
                    </m:e>
                    <m:sub>
                      <m:r>
                        <w:rPr>
                          <w:rFonts w:ascii="Cambria Math" w:hAnsi="Cambria Math"/>
                          <w:noProof/>
                        </w:rPr>
                        <m:t>n,m,u, s, ZOD</m:t>
                      </m:r>
                    </m:sub>
                  </m:sSub>
                  <m:r>
                    <w:rPr>
                      <w:rFonts w:ascii="Cambria Math" w:hAnsi="Cambria Math"/>
                      <w:noProof/>
                    </w:rPr>
                    <m:t>⋅sin</m:t>
                  </m:r>
                  <m:sSub>
                    <m:sSubPr>
                      <m:ctrlPr>
                        <w:rPr>
                          <w:rFonts w:ascii="Cambria Math" w:hAnsi="Cambria Math"/>
                          <w:i/>
                          <w:iCs/>
                          <w:noProof/>
                        </w:rPr>
                      </m:ctrlPr>
                    </m:sSubPr>
                    <m:e>
                      <m:r>
                        <w:rPr>
                          <w:rFonts w:ascii="Cambria Math" w:hAnsi="Cambria Math"/>
                          <w:noProof/>
                        </w:rPr>
                        <m:t>ϕ</m:t>
                      </m:r>
                    </m:e>
                    <m:sub>
                      <m:sSub>
                        <m:sSubPr>
                          <m:ctrlPr>
                            <w:rPr>
                              <w:rFonts w:ascii="Cambria Math" w:hAnsi="Cambria Math"/>
                              <w:i/>
                              <w:iCs/>
                              <w:noProof/>
                            </w:rPr>
                          </m:ctrlPr>
                        </m:sSubPr>
                        <m:e>
                          <m:r>
                            <w:rPr>
                              <w:rFonts w:ascii="Cambria Math" w:hAnsi="Cambria Math"/>
                              <w:noProof/>
                            </w:rPr>
                            <m:t>θ</m:t>
                          </m:r>
                        </m:e>
                        <m:sub>
                          <m:r>
                            <w:rPr>
                              <w:rFonts w:ascii="Cambria Math" w:hAnsi="Cambria Math"/>
                              <w:noProof/>
                            </w:rPr>
                            <m:t>n,m,u, s, AOD</m:t>
                          </m:r>
                        </m:sub>
                      </m:sSub>
                    </m:sub>
                  </m:sSub>
                </m:e>
              </m:mr>
              <m:mr>
                <m:e>
                  <m:r>
                    <w:rPr>
                      <w:rFonts w:ascii="Cambria Math" w:hAnsi="Cambria Math"/>
                      <w:noProof/>
                    </w:rPr>
                    <m:t>cos</m:t>
                  </m:r>
                  <m:sSub>
                    <m:sSubPr>
                      <m:ctrlPr>
                        <w:rPr>
                          <w:rFonts w:ascii="Cambria Math" w:hAnsi="Cambria Math"/>
                          <w:i/>
                          <w:iCs/>
                          <w:noProof/>
                        </w:rPr>
                      </m:ctrlPr>
                    </m:sSubPr>
                    <m:e>
                      <m:r>
                        <w:rPr>
                          <w:rFonts w:ascii="Cambria Math" w:hAnsi="Cambria Math"/>
                          <w:noProof/>
                        </w:rPr>
                        <m:t>θ</m:t>
                      </m:r>
                    </m:e>
                    <m:sub>
                      <m:r>
                        <w:rPr>
                          <w:rFonts w:ascii="Cambria Math" w:hAnsi="Cambria Math"/>
                          <w:noProof/>
                        </w:rPr>
                        <m:t>n,m,u, s, ZOD</m:t>
                      </m:r>
                    </m:sub>
                  </m:sSub>
                </m:e>
              </m:mr>
            </m:m>
          </m:e>
        </m:d>
      </m:oMath>
      <w:r w:rsidR="002752F4">
        <w:rPr>
          <w:iCs/>
          <w:noProof/>
        </w:rPr>
        <w:t>.</w:t>
      </w:r>
    </w:p>
    <w:p w14:paraId="7F678366" w14:textId="77777777" w:rsidR="002752F4" w:rsidRDefault="002752F4" w:rsidP="00A9231D">
      <w:pPr>
        <w:jc w:val="both"/>
      </w:pPr>
    </w:p>
    <w:p w14:paraId="76EF3EEB" w14:textId="43259327" w:rsidR="002752F4" w:rsidRDefault="002752F4" w:rsidP="002752F4">
      <w:pPr>
        <w:jc w:val="both"/>
        <w:rPr>
          <w:i/>
          <w:iCs/>
        </w:rPr>
      </w:pPr>
      <w:r w:rsidRPr="00D906A0">
        <w:rPr>
          <w:b/>
          <w:bCs/>
          <w:i/>
          <w:iCs/>
          <w:u w:val="single"/>
        </w:rPr>
        <w:t xml:space="preserve">Proposal </w:t>
      </w:r>
      <w:r>
        <w:rPr>
          <w:b/>
          <w:bCs/>
          <w:i/>
          <w:iCs/>
          <w:u w:val="single"/>
        </w:rPr>
        <w:t>3</w:t>
      </w:r>
      <w:r w:rsidRPr="00D906A0">
        <w:rPr>
          <w:b/>
          <w:bCs/>
          <w:i/>
          <w:iCs/>
          <w:u w:val="single"/>
        </w:rPr>
        <w:t>:</w:t>
      </w:r>
      <w:r w:rsidRPr="00D906A0">
        <w:rPr>
          <w:i/>
          <w:iCs/>
        </w:rPr>
        <w:t xml:space="preserve"> </w:t>
      </w:r>
      <w:r>
        <w:rPr>
          <w:i/>
          <w:iCs/>
        </w:rPr>
        <w:t>For near-field channel model study with non-direct path, to model the</w:t>
      </w:r>
      <w:r w:rsidRPr="00DE4DC4">
        <w:rPr>
          <w:i/>
          <w:iCs/>
        </w:rPr>
        <w:t xml:space="preserve"> angular domain channel parameters, Doppler shift</w:t>
      </w:r>
      <w:r>
        <w:rPr>
          <w:i/>
          <w:iCs/>
        </w:rPr>
        <w:t xml:space="preserve"> </w:t>
      </w:r>
      <w:r w:rsidRPr="002752F4">
        <w:rPr>
          <w:i/>
          <w:iCs/>
        </w:rPr>
        <w:t>and delay for</w:t>
      </w:r>
      <w:r>
        <w:rPr>
          <w:i/>
          <w:iCs/>
        </w:rPr>
        <w:t xml:space="preserve"> each pair of TRP antenna element and UE antenna element.</w:t>
      </w:r>
    </w:p>
    <w:p w14:paraId="534DA73E" w14:textId="77777777" w:rsidR="002752F4" w:rsidRDefault="002752F4" w:rsidP="002752F4">
      <w:pPr>
        <w:pStyle w:val="ListParagraph"/>
        <w:widowControl w:val="0"/>
        <w:numPr>
          <w:ilvl w:val="0"/>
          <w:numId w:val="48"/>
        </w:numPr>
        <w:tabs>
          <w:tab w:val="left" w:pos="1304"/>
          <w:tab w:val="left" w:pos="1440"/>
          <w:tab w:val="left" w:pos="2160"/>
        </w:tabs>
        <w:snapToGrid w:val="0"/>
        <w:ind w:left="720"/>
        <w:jc w:val="both"/>
      </w:pPr>
      <w:r w:rsidRPr="00DE4DC4">
        <w:rPr>
          <w:rFonts w:ascii="Times New Roman" w:hAnsi="Times New Roman"/>
          <w:i/>
          <w:iCs/>
          <w:sz w:val="24"/>
          <w:szCs w:val="24"/>
        </w:rPr>
        <w:t xml:space="preserve">No changes on the </w:t>
      </w:r>
      <w:r w:rsidRPr="002752F4">
        <w:rPr>
          <w:rFonts w:ascii="Times New Roman" w:hAnsi="Times New Roman"/>
          <w:i/>
          <w:iCs/>
          <w:sz w:val="24"/>
          <w:szCs w:val="24"/>
        </w:rPr>
        <w:t>parameter value and amplitude.</w:t>
      </w:r>
      <w:r>
        <w:rPr>
          <w:rFonts w:ascii="Times New Roman" w:hAnsi="Times New Roman"/>
          <w:i/>
          <w:iCs/>
          <w:sz w:val="24"/>
          <w:szCs w:val="24"/>
        </w:rPr>
        <w:t xml:space="preserve"> </w:t>
      </w:r>
    </w:p>
    <w:p w14:paraId="116BFDAB" w14:textId="77777777" w:rsidR="002752F4" w:rsidRDefault="002752F4" w:rsidP="00A9231D">
      <w:pPr>
        <w:jc w:val="both"/>
      </w:pPr>
    </w:p>
    <w:p w14:paraId="5391A99D" w14:textId="77777777" w:rsidR="002752F4" w:rsidRDefault="002752F4" w:rsidP="002752F4">
      <w:pPr>
        <w:jc w:val="both"/>
        <w:rPr>
          <w:i/>
          <w:iCs/>
        </w:rPr>
      </w:pPr>
      <w:r w:rsidRPr="00D906A0">
        <w:rPr>
          <w:b/>
          <w:bCs/>
          <w:i/>
          <w:iCs/>
          <w:u w:val="single"/>
        </w:rPr>
        <w:t xml:space="preserve">Proposal </w:t>
      </w:r>
      <w:r>
        <w:rPr>
          <w:b/>
          <w:bCs/>
          <w:i/>
          <w:iCs/>
          <w:u w:val="single"/>
        </w:rPr>
        <w:t>4</w:t>
      </w:r>
      <w:r w:rsidRPr="00D906A0">
        <w:rPr>
          <w:b/>
          <w:bCs/>
          <w:i/>
          <w:iCs/>
          <w:u w:val="single"/>
        </w:rPr>
        <w:t>:</w:t>
      </w:r>
      <w:r w:rsidRPr="00D906A0">
        <w:rPr>
          <w:i/>
          <w:iCs/>
        </w:rPr>
        <w:t xml:space="preserve"> </w:t>
      </w:r>
      <w:r>
        <w:rPr>
          <w:i/>
          <w:iCs/>
        </w:rPr>
        <w:t xml:space="preserve">For near-field channel model </w:t>
      </w:r>
      <w:r w:rsidRPr="002E3428">
        <w:rPr>
          <w:i/>
          <w:iCs/>
        </w:rPr>
        <w:t>study, for non-direct path between</w:t>
      </w:r>
      <w:r>
        <w:rPr>
          <w:i/>
          <w:iCs/>
        </w:rPr>
        <w:t xml:space="preserve"> TRP and UE, consider Option-1 of the cluster location-based approach, wherein the cluster location is derived based on the distance between TRP and cluster. </w:t>
      </w:r>
    </w:p>
    <w:p w14:paraId="1624C02F" w14:textId="77777777" w:rsidR="002752F4" w:rsidRDefault="002752F4" w:rsidP="002752F4">
      <w:pPr>
        <w:pStyle w:val="ListParagraph"/>
        <w:widowControl w:val="0"/>
        <w:numPr>
          <w:ilvl w:val="0"/>
          <w:numId w:val="56"/>
        </w:numPr>
        <w:tabs>
          <w:tab w:val="left" w:pos="840"/>
          <w:tab w:val="left" w:pos="1304"/>
          <w:tab w:val="left" w:pos="1440"/>
          <w:tab w:val="left" w:pos="2160"/>
        </w:tabs>
        <w:snapToGrid w:val="0"/>
        <w:jc w:val="both"/>
        <w:rPr>
          <w:rFonts w:ascii="Times New Roman" w:hAnsi="Times New Roman"/>
          <w:i/>
          <w:iCs/>
          <w:sz w:val="24"/>
          <w:szCs w:val="24"/>
        </w:rPr>
      </w:pPr>
      <w:r w:rsidRPr="002E3428">
        <w:rPr>
          <w:rFonts w:ascii="Times New Roman" w:hAnsi="Times New Roman"/>
          <w:i/>
          <w:iCs/>
          <w:sz w:val="24"/>
          <w:szCs w:val="24"/>
        </w:rPr>
        <w:lastRenderedPageBreak/>
        <w:t xml:space="preserve">The distance between TRP and cluster </w:t>
      </w:r>
      <w:r>
        <w:rPr>
          <w:rFonts w:ascii="Times New Roman" w:hAnsi="Times New Roman"/>
          <w:i/>
          <w:iCs/>
          <w:sz w:val="24"/>
          <w:szCs w:val="24"/>
        </w:rPr>
        <w:t>is</w:t>
      </w:r>
      <w:r w:rsidRPr="002E3428">
        <w:rPr>
          <w:rFonts w:ascii="Times New Roman" w:hAnsi="Times New Roman"/>
          <w:i/>
          <w:iCs/>
          <w:sz w:val="24"/>
          <w:szCs w:val="24"/>
        </w:rPr>
        <w:t xml:space="preserve"> </w:t>
      </w:r>
      <w:r>
        <w:rPr>
          <w:rFonts w:ascii="Times New Roman" w:hAnsi="Times New Roman"/>
          <w:i/>
          <w:iCs/>
          <w:sz w:val="24"/>
          <w:szCs w:val="24"/>
        </w:rPr>
        <w:t>calculated</w:t>
      </w:r>
      <w:r w:rsidRPr="002E3428">
        <w:rPr>
          <w:rFonts w:ascii="Times New Roman" w:hAnsi="Times New Roman"/>
          <w:i/>
          <w:iCs/>
          <w:sz w:val="24"/>
          <w:szCs w:val="24"/>
        </w:rPr>
        <w:t xml:space="preserve"> </w:t>
      </w:r>
      <w:r>
        <w:rPr>
          <w:rFonts w:ascii="Times New Roman" w:hAnsi="Times New Roman"/>
          <w:i/>
          <w:iCs/>
          <w:sz w:val="24"/>
          <w:szCs w:val="24"/>
        </w:rPr>
        <w:t xml:space="preserve">by </w:t>
      </w:r>
      <w:r w:rsidRPr="002E3428">
        <w:rPr>
          <w:rFonts w:ascii="Times New Roman" w:hAnsi="Times New Roman"/>
          <w:i/>
          <w:iCs/>
          <w:sz w:val="24"/>
          <w:szCs w:val="24"/>
        </w:rPr>
        <w:t>the cluster delay</w:t>
      </w:r>
      <w:r>
        <w:rPr>
          <w:rFonts w:ascii="Times New Roman" w:hAnsi="Times New Roman"/>
          <w:i/>
          <w:iCs/>
          <w:sz w:val="24"/>
          <w:szCs w:val="24"/>
        </w:rPr>
        <w:t xml:space="preserve"> generated in Step 5 </w:t>
      </w:r>
      <w:r w:rsidRPr="00F07330">
        <w:rPr>
          <w:rFonts w:ascii="Times New Roman" w:hAnsi="Times New Roman"/>
          <w:i/>
          <w:iCs/>
          <w:sz w:val="24"/>
          <w:szCs w:val="24"/>
        </w:rPr>
        <w:t>(“Generate delays”)</w:t>
      </w:r>
      <w:r>
        <w:rPr>
          <w:rFonts w:ascii="Times New Roman" w:hAnsi="Times New Roman"/>
          <w:i/>
          <w:iCs/>
          <w:sz w:val="24"/>
          <w:szCs w:val="24"/>
        </w:rPr>
        <w:t xml:space="preserve"> of channel coefficient generation procedure</w:t>
      </w:r>
      <w:r w:rsidRPr="002E3428">
        <w:rPr>
          <w:rFonts w:ascii="Times New Roman" w:hAnsi="Times New Roman"/>
          <w:i/>
          <w:iCs/>
          <w:sz w:val="24"/>
          <w:szCs w:val="24"/>
        </w:rPr>
        <w:t>.</w:t>
      </w:r>
    </w:p>
    <w:p w14:paraId="1AED7DE1" w14:textId="77777777" w:rsidR="002752F4" w:rsidRPr="00F07330" w:rsidRDefault="002752F4" w:rsidP="002752F4">
      <w:pPr>
        <w:pStyle w:val="ListParagraph"/>
        <w:widowControl w:val="0"/>
        <w:numPr>
          <w:ilvl w:val="0"/>
          <w:numId w:val="56"/>
        </w:numPr>
        <w:tabs>
          <w:tab w:val="left" w:pos="840"/>
          <w:tab w:val="left" w:pos="1304"/>
          <w:tab w:val="left" w:pos="1440"/>
          <w:tab w:val="left" w:pos="2160"/>
        </w:tabs>
        <w:snapToGrid w:val="0"/>
        <w:jc w:val="both"/>
        <w:rPr>
          <w:rFonts w:ascii="Times New Roman" w:hAnsi="Times New Roman"/>
          <w:i/>
          <w:iCs/>
          <w:sz w:val="24"/>
          <w:szCs w:val="24"/>
        </w:rPr>
      </w:pPr>
      <w:r>
        <w:rPr>
          <w:rFonts w:ascii="Times New Roman" w:hAnsi="Times New Roman"/>
          <w:i/>
          <w:iCs/>
          <w:sz w:val="24"/>
          <w:szCs w:val="24"/>
        </w:rPr>
        <w:t xml:space="preserve">If a cluster is within the Rayleigh distance from TRP, apply the near-field channel model. </w:t>
      </w:r>
    </w:p>
    <w:p w14:paraId="52C144AF" w14:textId="77777777" w:rsidR="002752F4" w:rsidRDefault="002752F4" w:rsidP="002752F4">
      <w:pPr>
        <w:jc w:val="both"/>
      </w:pPr>
    </w:p>
    <w:p w14:paraId="5B74C337" w14:textId="77777777" w:rsidR="002752F4" w:rsidRPr="002E354C" w:rsidRDefault="002752F4" w:rsidP="002752F4">
      <w:pPr>
        <w:jc w:val="both"/>
        <w:rPr>
          <w:i/>
          <w:iCs/>
        </w:rPr>
      </w:pPr>
      <w:r w:rsidRPr="00D906A0">
        <w:rPr>
          <w:b/>
          <w:bCs/>
          <w:i/>
          <w:iCs/>
          <w:u w:val="single"/>
        </w:rPr>
        <w:t xml:space="preserve">Proposal </w:t>
      </w:r>
      <w:r>
        <w:rPr>
          <w:b/>
          <w:bCs/>
          <w:i/>
          <w:iCs/>
          <w:u w:val="single"/>
        </w:rPr>
        <w:t>5</w:t>
      </w:r>
      <w:r w:rsidRPr="00D906A0">
        <w:rPr>
          <w:b/>
          <w:bCs/>
          <w:i/>
          <w:iCs/>
          <w:u w:val="single"/>
        </w:rPr>
        <w:t>:</w:t>
      </w:r>
      <w:r w:rsidRPr="00D906A0">
        <w:rPr>
          <w:i/>
          <w:iCs/>
        </w:rPr>
        <w:t xml:space="preserve"> </w:t>
      </w:r>
      <w:r w:rsidRPr="002E354C">
        <w:rPr>
          <w:i/>
          <w:iCs/>
        </w:rPr>
        <w:t>For the modelling of spatial non-stationarity</w:t>
      </w:r>
      <w:r>
        <w:rPr>
          <w:i/>
          <w:iCs/>
        </w:rPr>
        <w:t xml:space="preserve">, consider </w:t>
      </w:r>
      <w:r w:rsidRPr="002E354C">
        <w:rPr>
          <w:i/>
          <w:iCs/>
        </w:rPr>
        <w:t>adopt</w:t>
      </w:r>
      <w:r>
        <w:rPr>
          <w:i/>
          <w:iCs/>
        </w:rPr>
        <w:t>ing</w:t>
      </w:r>
      <w:r w:rsidRPr="002E354C">
        <w:rPr>
          <w:i/>
          <w:iCs/>
        </w:rPr>
        <w:t xml:space="preserve"> </w:t>
      </w:r>
      <w:r>
        <w:rPr>
          <w:i/>
          <w:iCs/>
        </w:rPr>
        <w:t xml:space="preserve">the </w:t>
      </w:r>
      <w:r w:rsidRPr="002E354C">
        <w:rPr>
          <w:i/>
          <w:iCs/>
        </w:rPr>
        <w:t>visible probability</w:t>
      </w:r>
      <w:r w:rsidRPr="002E354C">
        <w:rPr>
          <w:rFonts w:eastAsia="DengXian"/>
          <w:i/>
          <w:iCs/>
        </w:rPr>
        <w:t xml:space="preserve"> </w:t>
      </w:r>
      <w:r w:rsidRPr="002E354C">
        <w:rPr>
          <w:i/>
          <w:iCs/>
        </w:rPr>
        <w:t>(VP) or visibility region</w:t>
      </w:r>
      <w:r w:rsidRPr="002E354C">
        <w:rPr>
          <w:rFonts w:eastAsia="DengXian"/>
          <w:i/>
          <w:iCs/>
        </w:rPr>
        <w:t xml:space="preserve"> </w:t>
      </w:r>
      <w:r w:rsidRPr="002E354C">
        <w:rPr>
          <w:i/>
          <w:iCs/>
        </w:rPr>
        <w:t>(VR)</w:t>
      </w:r>
      <w:r>
        <w:rPr>
          <w:i/>
          <w:iCs/>
        </w:rPr>
        <w:t xml:space="preserve"> approach.</w:t>
      </w:r>
    </w:p>
    <w:p w14:paraId="2972066C" w14:textId="77777777" w:rsidR="002752F4" w:rsidRDefault="002752F4" w:rsidP="002752F4">
      <w:pPr>
        <w:pStyle w:val="ListParagraph"/>
        <w:widowControl w:val="0"/>
        <w:numPr>
          <w:ilvl w:val="0"/>
          <w:numId w:val="57"/>
        </w:numPr>
        <w:tabs>
          <w:tab w:val="left" w:pos="840"/>
          <w:tab w:val="left" w:pos="1304"/>
          <w:tab w:val="left" w:pos="1440"/>
          <w:tab w:val="left" w:pos="2160"/>
        </w:tabs>
        <w:snapToGrid w:val="0"/>
        <w:ind w:left="720"/>
        <w:jc w:val="both"/>
        <w:rPr>
          <w:rFonts w:ascii="Times New Roman" w:hAnsi="Times New Roman"/>
          <w:i/>
          <w:iCs/>
          <w:sz w:val="24"/>
          <w:szCs w:val="24"/>
        </w:rPr>
      </w:pPr>
      <w:r>
        <w:rPr>
          <w:rFonts w:ascii="Times New Roman" w:hAnsi="Times New Roman"/>
          <w:i/>
          <w:iCs/>
          <w:sz w:val="24"/>
          <w:szCs w:val="24"/>
        </w:rPr>
        <w:t xml:space="preserve">VP and VR size depend on the distance between TRP and </w:t>
      </w:r>
      <w:r w:rsidRPr="00E92EED">
        <w:rPr>
          <w:rFonts w:ascii="Times New Roman" w:hAnsi="Times New Roman"/>
          <w:i/>
          <w:iCs/>
          <w:sz w:val="24"/>
          <w:szCs w:val="24"/>
        </w:rPr>
        <w:t>cluster</w:t>
      </w:r>
      <w:r>
        <w:rPr>
          <w:rFonts w:ascii="Times New Roman" w:hAnsi="Times New Roman"/>
          <w:i/>
          <w:iCs/>
          <w:sz w:val="24"/>
          <w:szCs w:val="24"/>
        </w:rPr>
        <w:t xml:space="preserve"> (i.e., Alt 2)</w:t>
      </w:r>
    </w:p>
    <w:p w14:paraId="06F06DB9" w14:textId="77777777" w:rsidR="002752F4" w:rsidRPr="00BA5DDD" w:rsidRDefault="002752F4" w:rsidP="002752F4">
      <w:pPr>
        <w:jc w:val="both"/>
        <w:rPr>
          <w:i/>
          <w:iCs/>
        </w:rPr>
      </w:pPr>
    </w:p>
    <w:p w14:paraId="50ADFE44" w14:textId="77777777" w:rsidR="002752F4" w:rsidRPr="00655F47" w:rsidRDefault="002752F4" w:rsidP="002752F4">
      <w:pPr>
        <w:jc w:val="both"/>
        <w:rPr>
          <w:i/>
          <w:iCs/>
        </w:rPr>
      </w:pPr>
      <w:r w:rsidRPr="00D906A0">
        <w:rPr>
          <w:b/>
          <w:bCs/>
          <w:i/>
          <w:iCs/>
          <w:u w:val="single"/>
        </w:rPr>
        <w:t xml:space="preserve">Proposal </w:t>
      </w:r>
      <w:r>
        <w:rPr>
          <w:b/>
          <w:bCs/>
          <w:i/>
          <w:iCs/>
          <w:u w:val="single"/>
        </w:rPr>
        <w:t>6</w:t>
      </w:r>
      <w:r w:rsidRPr="00D906A0">
        <w:rPr>
          <w:b/>
          <w:bCs/>
          <w:i/>
          <w:iCs/>
          <w:u w:val="single"/>
        </w:rPr>
        <w:t>:</w:t>
      </w:r>
      <w:r w:rsidRPr="00D906A0">
        <w:rPr>
          <w:i/>
          <w:iCs/>
        </w:rPr>
        <w:t xml:space="preserve"> </w:t>
      </w:r>
      <w:r w:rsidRPr="002E354C">
        <w:rPr>
          <w:i/>
          <w:iCs/>
        </w:rPr>
        <w:t>For the modelling of spatial non-stationarity</w:t>
      </w:r>
      <w:r>
        <w:rPr>
          <w:i/>
          <w:iCs/>
        </w:rPr>
        <w:t xml:space="preserve"> with the VP and VR approach, the power attenuation factor is equal to VR over the total number of TRP antennas. </w:t>
      </w:r>
    </w:p>
    <w:p w14:paraId="3F3FECB7" w14:textId="77777777" w:rsidR="002752F4" w:rsidRPr="00F44D2E" w:rsidRDefault="002752F4" w:rsidP="00A9231D">
      <w:pPr>
        <w:jc w:val="both"/>
      </w:pPr>
    </w:p>
    <w:p w14:paraId="2E75F001" w14:textId="77777777" w:rsidR="007E70BB" w:rsidRPr="00A6576F" w:rsidRDefault="005C63AE" w:rsidP="007E70BB">
      <w:pPr>
        <w:pStyle w:val="Heading1"/>
      </w:pPr>
      <w:r w:rsidRPr="00A6576F">
        <w:t>References</w:t>
      </w:r>
    </w:p>
    <w:p w14:paraId="54110962" w14:textId="04A6E302" w:rsidR="002D2038" w:rsidRDefault="00385112" w:rsidP="00E6111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146048113"/>
      <w:bookmarkStart w:id="2" w:name="_Ref49784738"/>
      <w:bookmarkStart w:id="3" w:name="_Ref100217924"/>
      <w:bookmarkStart w:id="4" w:name="_Ref124153647"/>
      <w:bookmarkStart w:id="5" w:name="_Ref109038266"/>
      <w:bookmarkStart w:id="6" w:name="OLE_LINK1"/>
      <w:bookmarkStart w:id="7" w:name="OLE_LINK2"/>
      <w:bookmarkStart w:id="8" w:name="_Ref99716514"/>
      <w:bookmarkStart w:id="9" w:name="_Ref46220695"/>
      <w:r>
        <w:t>R</w:t>
      </w:r>
      <w:r w:rsidR="002D2038">
        <w:t>P</w:t>
      </w:r>
      <w:r>
        <w:t>-234</w:t>
      </w:r>
      <w:r w:rsidR="002D2038">
        <w:t>0</w:t>
      </w:r>
      <w:r w:rsidR="005C0B47">
        <w:t>1</w:t>
      </w:r>
      <w:r w:rsidR="002D2038">
        <w:t>8</w:t>
      </w:r>
      <w:r>
        <w:t xml:space="preserve">, </w:t>
      </w:r>
      <w:r w:rsidR="002D2038">
        <w:t>“</w:t>
      </w:r>
      <w:r w:rsidR="002D2038" w:rsidRPr="002D2038">
        <w:rPr>
          <w:bCs/>
          <w:lang w:val="en-GB"/>
        </w:rPr>
        <w:t xml:space="preserve">New </w:t>
      </w:r>
      <w:r w:rsidR="005C0B47">
        <w:rPr>
          <w:bCs/>
          <w:lang w:val="en-GB"/>
        </w:rPr>
        <w:t>S</w:t>
      </w:r>
      <w:r w:rsidR="002D2038" w:rsidRPr="002D2038">
        <w:rPr>
          <w:bCs/>
          <w:lang w:val="en-GB"/>
        </w:rPr>
        <w:t xml:space="preserve">ID: </w:t>
      </w:r>
      <w:r w:rsidR="005C0B47">
        <w:rPr>
          <w:bCs/>
          <w:lang w:val="en-GB"/>
        </w:rPr>
        <w:t>Study on channel modelling enhancements for 7-24 GHz for NR</w:t>
      </w:r>
      <w:r>
        <w:t xml:space="preserve">,” </w:t>
      </w:r>
      <w:r w:rsidR="002D2038">
        <w:t>Dec.</w:t>
      </w:r>
      <w:r>
        <w:t xml:space="preserve"> 2023.</w:t>
      </w:r>
      <w:bookmarkEnd w:id="1"/>
      <w:r>
        <w:t xml:space="preserve"> </w:t>
      </w:r>
      <w:bookmarkStart w:id="10" w:name="_Ref146637819"/>
    </w:p>
    <w:p w14:paraId="1728F9A1" w14:textId="20AE29CD" w:rsidR="002D4350" w:rsidRDefault="002D4350" w:rsidP="002D435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1" w:name="_Ref146638431"/>
      <w:bookmarkStart w:id="12" w:name="_Ref158277531"/>
      <w:bookmarkStart w:id="13" w:name="_Ref156394703"/>
      <w:bookmarkEnd w:id="2"/>
      <w:bookmarkEnd w:id="3"/>
      <w:bookmarkEnd w:id="4"/>
      <w:bookmarkEnd w:id="5"/>
      <w:bookmarkEnd w:id="6"/>
      <w:bookmarkEnd w:id="7"/>
      <w:bookmarkEnd w:id="8"/>
      <w:bookmarkEnd w:id="9"/>
      <w:bookmarkEnd w:id="10"/>
      <w:r>
        <w:t>Chairman’s Notes, 3GPP TSG RAN WG1 #11</w:t>
      </w:r>
      <w:r w:rsidR="00645D60">
        <w:t>8</w:t>
      </w:r>
      <w:r>
        <w:t xml:space="preserve"> Meeting, </w:t>
      </w:r>
      <w:r w:rsidR="00645D60">
        <w:t>Aug.</w:t>
      </w:r>
      <w:r>
        <w:t xml:space="preserve"> 2024.</w:t>
      </w:r>
      <w:bookmarkEnd w:id="11"/>
    </w:p>
    <w:p w14:paraId="7C59A5D9" w14:textId="77777777" w:rsidR="00FF3345" w:rsidRDefault="00FF3345" w:rsidP="00D050C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4" w:name="_Ref166225040"/>
      <w:r>
        <w:t>RP-233985, “High-level considerations for 6G timeline,” Dec. 2023.</w:t>
      </w:r>
      <w:bookmarkEnd w:id="14"/>
      <w:r>
        <w:t xml:space="preserve"> </w:t>
      </w:r>
      <w:bookmarkStart w:id="15" w:name="_Ref158277733"/>
      <w:bookmarkEnd w:id="12"/>
    </w:p>
    <w:p w14:paraId="130DA9D8" w14:textId="1AE96FE6" w:rsidR="000F07EB" w:rsidRPr="005C0B47" w:rsidRDefault="002C400D" w:rsidP="00645D6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6" w:name="_Ref166225065"/>
      <w:r>
        <w:t xml:space="preserve">3GPP </w:t>
      </w:r>
      <w:r w:rsidR="00BB14A8">
        <w:t>TR 38.</w:t>
      </w:r>
      <w:r w:rsidR="005C0B47">
        <w:t>901</w:t>
      </w:r>
      <w:r w:rsidR="00BB14A8">
        <w:t xml:space="preserve">, </w:t>
      </w:r>
      <w:r w:rsidR="005C0B47" w:rsidRPr="005C0B47">
        <w:t>Study on channel model for frequencies from 0.5 to 100 GHz</w:t>
      </w:r>
      <w:r w:rsidR="00BB14A8">
        <w:t>, v1</w:t>
      </w:r>
      <w:r w:rsidR="005C0B47">
        <w:t>7</w:t>
      </w:r>
      <w:r w:rsidR="00BB14A8">
        <w:t>.</w:t>
      </w:r>
      <w:r w:rsidR="005C0B47">
        <w:t>1</w:t>
      </w:r>
      <w:r w:rsidR="00BB14A8">
        <w:t xml:space="preserve">.0, </w:t>
      </w:r>
      <w:r w:rsidR="005C0B47">
        <w:t>Jan</w:t>
      </w:r>
      <w:r w:rsidR="00BB14A8">
        <w:t>. 202</w:t>
      </w:r>
      <w:r w:rsidR="005C0B47">
        <w:t>4</w:t>
      </w:r>
      <w:r w:rsidR="00BB14A8">
        <w:t>.</w:t>
      </w:r>
      <w:bookmarkEnd w:id="13"/>
      <w:bookmarkEnd w:id="15"/>
      <w:bookmarkEnd w:id="16"/>
    </w:p>
    <w:sectPr w:rsidR="000F07EB" w:rsidRPr="005C0B47" w:rsidSect="006F0AA5">
      <w:footerReference w:type="default" r:id="rId10"/>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96989C" w14:textId="77777777" w:rsidR="00960E67" w:rsidRDefault="00960E67">
      <w:r>
        <w:separator/>
      </w:r>
    </w:p>
  </w:endnote>
  <w:endnote w:type="continuationSeparator" w:id="0">
    <w:p w14:paraId="5C8F48F9" w14:textId="77777777" w:rsidR="00960E67" w:rsidRDefault="00960E67">
      <w:r>
        <w:continuationSeparator/>
      </w:r>
    </w:p>
  </w:endnote>
  <w:endnote w:type="continuationNotice" w:id="1">
    <w:p w14:paraId="1CE9EBA0" w14:textId="77777777" w:rsidR="00960E67" w:rsidRDefault="00960E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9A0BCE" w14:textId="77777777" w:rsidR="00960E67" w:rsidRDefault="00960E67">
      <w:r>
        <w:separator/>
      </w:r>
    </w:p>
  </w:footnote>
  <w:footnote w:type="continuationSeparator" w:id="0">
    <w:p w14:paraId="300060D6" w14:textId="77777777" w:rsidR="00960E67" w:rsidRDefault="00960E67">
      <w:r>
        <w:continuationSeparator/>
      </w:r>
    </w:p>
  </w:footnote>
  <w:footnote w:type="continuationNotice" w:id="1">
    <w:p w14:paraId="3A76BC57" w14:textId="77777777" w:rsidR="00960E67" w:rsidRDefault="00960E6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2"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3"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586AE6"/>
    <w:multiLevelType w:val="multilevel"/>
    <w:tmpl w:val="76F4D58C"/>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1"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A433F2"/>
    <w:multiLevelType w:val="multilevel"/>
    <w:tmpl w:val="D1DA4724"/>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14"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15"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8"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20"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8B72BBE"/>
    <w:multiLevelType w:val="hybridMultilevel"/>
    <w:tmpl w:val="F0745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2C10EC"/>
    <w:multiLevelType w:val="multilevel"/>
    <w:tmpl w:val="E0BC3502"/>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3" w15:restartNumberingAfterBreak="0">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4" w15:restartNumberingAfterBreak="0">
    <w:nsid w:val="2F0E75E3"/>
    <w:multiLevelType w:val="hybridMultilevel"/>
    <w:tmpl w:val="AA00649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9"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3E5A3718"/>
    <w:multiLevelType w:val="multilevel"/>
    <w:tmpl w:val="F00C84E6"/>
    <w:lvl w:ilvl="0">
      <w:start w:val="1"/>
      <w:numFmt w:val="bullet"/>
      <w:lvlText w:val=""/>
      <w:lvlJc w:val="left"/>
      <w:pPr>
        <w:ind w:left="720" w:hanging="360"/>
      </w:pPr>
      <w:rPr>
        <w:rFonts w:ascii="Symbol" w:hAnsi="Symbol" w:hint="default"/>
      </w:rPr>
    </w:lvl>
    <w:lvl w:ilvl="1">
      <w:start w:val="1"/>
      <w:numFmt w:val="bullet"/>
      <w:lvlText w:val=""/>
      <w:lvlJc w:val="left"/>
      <w:pPr>
        <w:ind w:left="1860" w:hanging="360"/>
      </w:pPr>
      <w:rPr>
        <w:rFonts w:ascii="Wingdings" w:hAnsi="Wingdings"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45" w15:restartNumberingAfterBreak="0">
    <w:nsid w:val="5C284206"/>
    <w:multiLevelType w:val="multilevel"/>
    <w:tmpl w:val="50F8A0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7"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9CC305C"/>
    <w:multiLevelType w:val="singleLevel"/>
    <w:tmpl w:val="04090005"/>
    <w:lvl w:ilvl="0">
      <w:start w:val="1"/>
      <w:numFmt w:val="bullet"/>
      <w:lvlText w:val=""/>
      <w:lvlJc w:val="left"/>
      <w:pPr>
        <w:ind w:left="360" w:hanging="360"/>
      </w:pPr>
      <w:rPr>
        <w:rFonts w:ascii="Wingdings" w:hAnsi="Wingdings" w:hint="default"/>
        <w:sz w:val="15"/>
        <w:szCs w:val="15"/>
      </w:rPr>
    </w:lvl>
  </w:abstractNum>
  <w:abstractNum w:abstractNumId="49"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50"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F4475D"/>
    <w:multiLevelType w:val="hybridMultilevel"/>
    <w:tmpl w:val="0EECD632"/>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57" w15:restartNumberingAfterBreak="0">
    <w:nsid w:val="77F244D9"/>
    <w:multiLevelType w:val="hybridMultilevel"/>
    <w:tmpl w:val="92CC227C"/>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9"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0908860">
    <w:abstractNumId w:val="6"/>
  </w:num>
  <w:num w:numId="2" w16cid:durableId="1202403288">
    <w:abstractNumId w:val="36"/>
  </w:num>
  <w:num w:numId="3" w16cid:durableId="235363559">
    <w:abstractNumId w:val="28"/>
  </w:num>
  <w:num w:numId="4" w16cid:durableId="989679355">
    <w:abstractNumId w:val="30"/>
  </w:num>
  <w:num w:numId="5" w16cid:durableId="409810781">
    <w:abstractNumId w:val="25"/>
  </w:num>
  <w:num w:numId="6" w16cid:durableId="2081513416">
    <w:abstractNumId w:val="33"/>
  </w:num>
  <w:num w:numId="7" w16cid:durableId="1568495607">
    <w:abstractNumId w:val="43"/>
  </w:num>
  <w:num w:numId="8" w16cid:durableId="1929077284">
    <w:abstractNumId w:val="26"/>
  </w:num>
  <w:num w:numId="9" w16cid:durableId="69206241">
    <w:abstractNumId w:val="38"/>
  </w:num>
  <w:num w:numId="10" w16cid:durableId="1314335830">
    <w:abstractNumId w:val="2"/>
  </w:num>
  <w:num w:numId="11" w16cid:durableId="586155756">
    <w:abstractNumId w:val="32"/>
  </w:num>
  <w:num w:numId="12" w16cid:durableId="1461416379">
    <w:abstractNumId w:val="35"/>
  </w:num>
  <w:num w:numId="13" w16cid:durableId="131097616">
    <w:abstractNumId w:val="12"/>
  </w:num>
  <w:num w:numId="14" w16cid:durableId="1330669507">
    <w:abstractNumId w:val="42"/>
  </w:num>
  <w:num w:numId="15" w16cid:durableId="1544708605">
    <w:abstractNumId w:val="11"/>
  </w:num>
  <w:num w:numId="16" w16cid:durableId="1647202359">
    <w:abstractNumId w:val="29"/>
  </w:num>
  <w:num w:numId="17" w16cid:durableId="366611127">
    <w:abstractNumId w:val="1"/>
  </w:num>
  <w:num w:numId="18" w16cid:durableId="1176379521">
    <w:abstractNumId w:val="58"/>
  </w:num>
  <w:num w:numId="19" w16cid:durableId="494035189">
    <w:abstractNumId w:val="18"/>
  </w:num>
  <w:num w:numId="20" w16cid:durableId="1886402229">
    <w:abstractNumId w:val="56"/>
  </w:num>
  <w:num w:numId="21" w16cid:durableId="2128230243">
    <w:abstractNumId w:val="53"/>
  </w:num>
  <w:num w:numId="22" w16cid:durableId="31351445">
    <w:abstractNumId w:val="44"/>
  </w:num>
  <w:num w:numId="23" w16cid:durableId="1081098852">
    <w:abstractNumId w:val="5"/>
  </w:num>
  <w:num w:numId="24" w16cid:durableId="585111641">
    <w:abstractNumId w:val="9"/>
  </w:num>
  <w:num w:numId="25" w16cid:durableId="1769615368">
    <w:abstractNumId w:val="46"/>
  </w:num>
  <w:num w:numId="26" w16cid:durableId="1914119897">
    <w:abstractNumId w:val="20"/>
  </w:num>
  <w:num w:numId="27" w16cid:durableId="320233550">
    <w:abstractNumId w:val="16"/>
  </w:num>
  <w:num w:numId="28" w16cid:durableId="1797259966">
    <w:abstractNumId w:val="4"/>
  </w:num>
  <w:num w:numId="29" w16cid:durableId="1824543099">
    <w:abstractNumId w:val="41"/>
  </w:num>
  <w:num w:numId="30" w16cid:durableId="810824541">
    <w:abstractNumId w:val="8"/>
  </w:num>
  <w:num w:numId="31" w16cid:durableId="612783970">
    <w:abstractNumId w:val="59"/>
  </w:num>
  <w:num w:numId="32" w16cid:durableId="922572308">
    <w:abstractNumId w:val="52"/>
  </w:num>
  <w:num w:numId="33" w16cid:durableId="489830261">
    <w:abstractNumId w:val="27"/>
  </w:num>
  <w:num w:numId="34" w16cid:durableId="1596014999">
    <w:abstractNumId w:val="3"/>
  </w:num>
  <w:num w:numId="35" w16cid:durableId="654266786">
    <w:abstractNumId w:val="51"/>
  </w:num>
  <w:num w:numId="36" w16cid:durableId="1456556740">
    <w:abstractNumId w:val="50"/>
  </w:num>
  <w:num w:numId="37" w16cid:durableId="1670711974">
    <w:abstractNumId w:val="55"/>
  </w:num>
  <w:num w:numId="38" w16cid:durableId="1633756099">
    <w:abstractNumId w:val="24"/>
  </w:num>
  <w:num w:numId="39" w16cid:durableId="193033440">
    <w:abstractNumId w:val="15"/>
  </w:num>
  <w:num w:numId="40" w16cid:durableId="7389864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7"/>
  </w:num>
  <w:num w:numId="42" w16cid:durableId="1284337730">
    <w:abstractNumId w:val="39"/>
  </w:num>
  <w:num w:numId="43" w16cid:durableId="2051612355">
    <w:abstractNumId w:val="40"/>
  </w:num>
  <w:num w:numId="44" w16cid:durableId="2021538486">
    <w:abstractNumId w:val="47"/>
  </w:num>
  <w:num w:numId="45" w16cid:durableId="295792104">
    <w:abstractNumId w:val="57"/>
  </w:num>
  <w:num w:numId="46" w16cid:durableId="729615134">
    <w:abstractNumId w:val="21"/>
  </w:num>
  <w:num w:numId="47" w16cid:durableId="513038611">
    <w:abstractNumId w:val="14"/>
  </w:num>
  <w:num w:numId="48" w16cid:durableId="361129912">
    <w:abstractNumId w:val="13"/>
  </w:num>
  <w:num w:numId="49" w16cid:durableId="391318684">
    <w:abstractNumId w:val="37"/>
  </w:num>
  <w:num w:numId="50" w16cid:durableId="1268997871">
    <w:abstractNumId w:val="49"/>
  </w:num>
  <w:num w:numId="51" w16cid:durableId="239599887">
    <w:abstractNumId w:val="54"/>
  </w:num>
  <w:num w:numId="52" w16cid:durableId="1009143934">
    <w:abstractNumId w:val="0"/>
  </w:num>
  <w:num w:numId="53" w16cid:durableId="448743781">
    <w:abstractNumId w:val="23"/>
  </w:num>
  <w:num w:numId="54" w16cid:durableId="2099520879">
    <w:abstractNumId w:val="34"/>
  </w:num>
  <w:num w:numId="55" w16cid:durableId="1240363687">
    <w:abstractNumId w:val="10"/>
  </w:num>
  <w:num w:numId="56" w16cid:durableId="1649281350">
    <w:abstractNumId w:val="31"/>
  </w:num>
  <w:num w:numId="57" w16cid:durableId="1384910007">
    <w:abstractNumId w:val="22"/>
  </w:num>
  <w:num w:numId="58" w16cid:durableId="1517882242">
    <w:abstractNumId w:val="19"/>
  </w:num>
  <w:num w:numId="59" w16cid:durableId="1546062516">
    <w:abstractNumId w:val="48"/>
  </w:num>
  <w:num w:numId="60" w16cid:durableId="1099563358">
    <w:abstractNumId w:val="4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4D35"/>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5E3"/>
    <w:rsid w:val="000267A1"/>
    <w:rsid w:val="00027218"/>
    <w:rsid w:val="00027939"/>
    <w:rsid w:val="00027988"/>
    <w:rsid w:val="00027BD2"/>
    <w:rsid w:val="0003063F"/>
    <w:rsid w:val="0003198A"/>
    <w:rsid w:val="00031A91"/>
    <w:rsid w:val="000325B8"/>
    <w:rsid w:val="0003353A"/>
    <w:rsid w:val="000338CF"/>
    <w:rsid w:val="00033B4F"/>
    <w:rsid w:val="00033F51"/>
    <w:rsid w:val="000341BE"/>
    <w:rsid w:val="0003438B"/>
    <w:rsid w:val="000345BA"/>
    <w:rsid w:val="0003476B"/>
    <w:rsid w:val="00034C15"/>
    <w:rsid w:val="00035672"/>
    <w:rsid w:val="0003582C"/>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5C3"/>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4F1"/>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BD7"/>
    <w:rsid w:val="000A3D91"/>
    <w:rsid w:val="000A4016"/>
    <w:rsid w:val="000A4455"/>
    <w:rsid w:val="000A4DBC"/>
    <w:rsid w:val="000A5012"/>
    <w:rsid w:val="000A52AD"/>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0A"/>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0A88"/>
    <w:rsid w:val="000E1032"/>
    <w:rsid w:val="000E113C"/>
    <w:rsid w:val="000E1875"/>
    <w:rsid w:val="000E1ADC"/>
    <w:rsid w:val="000E1E92"/>
    <w:rsid w:val="000E23DE"/>
    <w:rsid w:val="000E32EA"/>
    <w:rsid w:val="000E3413"/>
    <w:rsid w:val="000E3A5F"/>
    <w:rsid w:val="000E3B59"/>
    <w:rsid w:val="000E3CE6"/>
    <w:rsid w:val="000E49DC"/>
    <w:rsid w:val="000E4B42"/>
    <w:rsid w:val="000E5750"/>
    <w:rsid w:val="000E7568"/>
    <w:rsid w:val="000E7662"/>
    <w:rsid w:val="000E7757"/>
    <w:rsid w:val="000E7FA9"/>
    <w:rsid w:val="000F06D6"/>
    <w:rsid w:val="000F07EB"/>
    <w:rsid w:val="000F0EB1"/>
    <w:rsid w:val="000F1106"/>
    <w:rsid w:val="000F186D"/>
    <w:rsid w:val="000F19FE"/>
    <w:rsid w:val="000F2053"/>
    <w:rsid w:val="000F2947"/>
    <w:rsid w:val="000F2D3F"/>
    <w:rsid w:val="000F334F"/>
    <w:rsid w:val="000F34DF"/>
    <w:rsid w:val="000F3A9D"/>
    <w:rsid w:val="000F3BE9"/>
    <w:rsid w:val="000F3F6C"/>
    <w:rsid w:val="000F45E2"/>
    <w:rsid w:val="000F4676"/>
    <w:rsid w:val="000F4E73"/>
    <w:rsid w:val="000F5184"/>
    <w:rsid w:val="000F5F05"/>
    <w:rsid w:val="000F5FA1"/>
    <w:rsid w:val="000F63FD"/>
    <w:rsid w:val="000F6C42"/>
    <w:rsid w:val="000F6CBE"/>
    <w:rsid w:val="000F6DF3"/>
    <w:rsid w:val="000F6F4E"/>
    <w:rsid w:val="000F75D8"/>
    <w:rsid w:val="001002DA"/>
    <w:rsid w:val="001005FF"/>
    <w:rsid w:val="00100D9C"/>
    <w:rsid w:val="001012B0"/>
    <w:rsid w:val="00101904"/>
    <w:rsid w:val="00101F35"/>
    <w:rsid w:val="00102304"/>
    <w:rsid w:val="001027FA"/>
    <w:rsid w:val="0010434A"/>
    <w:rsid w:val="001045CC"/>
    <w:rsid w:val="00104D81"/>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0BB9"/>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522"/>
    <w:rsid w:val="001426A2"/>
    <w:rsid w:val="00142CFD"/>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AB6"/>
    <w:rsid w:val="00150F90"/>
    <w:rsid w:val="00151178"/>
    <w:rsid w:val="00151189"/>
    <w:rsid w:val="001511F0"/>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56E4"/>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143F"/>
    <w:rsid w:val="001815BA"/>
    <w:rsid w:val="001815DD"/>
    <w:rsid w:val="00181A6B"/>
    <w:rsid w:val="00182925"/>
    <w:rsid w:val="001836C2"/>
    <w:rsid w:val="001836F6"/>
    <w:rsid w:val="001837CC"/>
    <w:rsid w:val="00183ED8"/>
    <w:rsid w:val="00184052"/>
    <w:rsid w:val="00184A9B"/>
    <w:rsid w:val="001854DE"/>
    <w:rsid w:val="00185B93"/>
    <w:rsid w:val="00185D66"/>
    <w:rsid w:val="00186D59"/>
    <w:rsid w:val="001871DD"/>
    <w:rsid w:val="00187930"/>
    <w:rsid w:val="00187FD0"/>
    <w:rsid w:val="00190AC1"/>
    <w:rsid w:val="001927DF"/>
    <w:rsid w:val="001932FC"/>
    <w:rsid w:val="0019341A"/>
    <w:rsid w:val="00193704"/>
    <w:rsid w:val="00194456"/>
    <w:rsid w:val="0019487F"/>
    <w:rsid w:val="00194B49"/>
    <w:rsid w:val="00194F24"/>
    <w:rsid w:val="00195196"/>
    <w:rsid w:val="001958BF"/>
    <w:rsid w:val="0019604B"/>
    <w:rsid w:val="00196A3C"/>
    <w:rsid w:val="0019737B"/>
    <w:rsid w:val="00197402"/>
    <w:rsid w:val="0019757B"/>
    <w:rsid w:val="00197DE9"/>
    <w:rsid w:val="00197DF9"/>
    <w:rsid w:val="001A0F35"/>
    <w:rsid w:val="001A10BD"/>
    <w:rsid w:val="001A1549"/>
    <w:rsid w:val="001A1987"/>
    <w:rsid w:val="001A2564"/>
    <w:rsid w:val="001A2707"/>
    <w:rsid w:val="001A279E"/>
    <w:rsid w:val="001A3324"/>
    <w:rsid w:val="001A33C5"/>
    <w:rsid w:val="001A464A"/>
    <w:rsid w:val="001A48E8"/>
    <w:rsid w:val="001A4FDC"/>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D0B"/>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275"/>
    <w:rsid w:val="001D3954"/>
    <w:rsid w:val="001D42FB"/>
    <w:rsid w:val="001D479D"/>
    <w:rsid w:val="001D4917"/>
    <w:rsid w:val="001D51BA"/>
    <w:rsid w:val="001D53DE"/>
    <w:rsid w:val="001D5635"/>
    <w:rsid w:val="001D56A3"/>
    <w:rsid w:val="001D5702"/>
    <w:rsid w:val="001D62A4"/>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9C"/>
    <w:rsid w:val="001E58DD"/>
    <w:rsid w:val="001E58E2"/>
    <w:rsid w:val="001E5CE6"/>
    <w:rsid w:val="001E6091"/>
    <w:rsid w:val="001E799A"/>
    <w:rsid w:val="001E7AED"/>
    <w:rsid w:val="001F0443"/>
    <w:rsid w:val="001F07D8"/>
    <w:rsid w:val="001F087C"/>
    <w:rsid w:val="001F0B12"/>
    <w:rsid w:val="001F0B22"/>
    <w:rsid w:val="001F0FEA"/>
    <w:rsid w:val="001F1025"/>
    <w:rsid w:val="001F11B7"/>
    <w:rsid w:val="001F19C8"/>
    <w:rsid w:val="001F2689"/>
    <w:rsid w:val="001F2D91"/>
    <w:rsid w:val="001F3467"/>
    <w:rsid w:val="001F355A"/>
    <w:rsid w:val="001F3916"/>
    <w:rsid w:val="001F3BB7"/>
    <w:rsid w:val="001F3D7C"/>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2D76"/>
    <w:rsid w:val="00213283"/>
    <w:rsid w:val="00213867"/>
    <w:rsid w:val="00213E1E"/>
    <w:rsid w:val="0021495B"/>
    <w:rsid w:val="00214DA8"/>
    <w:rsid w:val="00215423"/>
    <w:rsid w:val="00215623"/>
    <w:rsid w:val="002158FA"/>
    <w:rsid w:val="00215A53"/>
    <w:rsid w:val="00215A92"/>
    <w:rsid w:val="00215C6B"/>
    <w:rsid w:val="00215D1D"/>
    <w:rsid w:val="00215EFE"/>
    <w:rsid w:val="00217079"/>
    <w:rsid w:val="0021735F"/>
    <w:rsid w:val="002175DB"/>
    <w:rsid w:val="00217ABD"/>
    <w:rsid w:val="00217D43"/>
    <w:rsid w:val="0022013E"/>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B18"/>
    <w:rsid w:val="00225C54"/>
    <w:rsid w:val="00226422"/>
    <w:rsid w:val="00226A79"/>
    <w:rsid w:val="00227749"/>
    <w:rsid w:val="00227AF2"/>
    <w:rsid w:val="00227B13"/>
    <w:rsid w:val="00227E24"/>
    <w:rsid w:val="00227ECB"/>
    <w:rsid w:val="00230272"/>
    <w:rsid w:val="00230765"/>
    <w:rsid w:val="00231886"/>
    <w:rsid w:val="002318ED"/>
    <w:rsid w:val="002319E4"/>
    <w:rsid w:val="00232375"/>
    <w:rsid w:val="0023274F"/>
    <w:rsid w:val="00232C7C"/>
    <w:rsid w:val="00233C3D"/>
    <w:rsid w:val="00233C9B"/>
    <w:rsid w:val="002347AD"/>
    <w:rsid w:val="002348E4"/>
    <w:rsid w:val="00234934"/>
    <w:rsid w:val="002352DA"/>
    <w:rsid w:val="00235632"/>
    <w:rsid w:val="00235872"/>
    <w:rsid w:val="00235B27"/>
    <w:rsid w:val="00235B8D"/>
    <w:rsid w:val="00235BBB"/>
    <w:rsid w:val="00235C91"/>
    <w:rsid w:val="00235F99"/>
    <w:rsid w:val="0023631C"/>
    <w:rsid w:val="00236361"/>
    <w:rsid w:val="00236817"/>
    <w:rsid w:val="00236C86"/>
    <w:rsid w:val="00236DC4"/>
    <w:rsid w:val="00236E54"/>
    <w:rsid w:val="002370E7"/>
    <w:rsid w:val="00237BC1"/>
    <w:rsid w:val="00237E63"/>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0B"/>
    <w:rsid w:val="00251949"/>
    <w:rsid w:val="00251CEE"/>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BE"/>
    <w:rsid w:val="002670D8"/>
    <w:rsid w:val="00267ADF"/>
    <w:rsid w:val="00267C83"/>
    <w:rsid w:val="0027003D"/>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4C78"/>
    <w:rsid w:val="002752F4"/>
    <w:rsid w:val="0027544A"/>
    <w:rsid w:val="00275549"/>
    <w:rsid w:val="0027586B"/>
    <w:rsid w:val="00275DBF"/>
    <w:rsid w:val="00276561"/>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22E6"/>
    <w:rsid w:val="00292E06"/>
    <w:rsid w:val="00292EB7"/>
    <w:rsid w:val="0029321E"/>
    <w:rsid w:val="002940D2"/>
    <w:rsid w:val="002941E2"/>
    <w:rsid w:val="00294298"/>
    <w:rsid w:val="00296227"/>
    <w:rsid w:val="00296C78"/>
    <w:rsid w:val="00296D79"/>
    <w:rsid w:val="00296D80"/>
    <w:rsid w:val="00296F44"/>
    <w:rsid w:val="00296FD7"/>
    <w:rsid w:val="0029767A"/>
    <w:rsid w:val="0029777D"/>
    <w:rsid w:val="002A00A0"/>
    <w:rsid w:val="002A055E"/>
    <w:rsid w:val="002A07B8"/>
    <w:rsid w:val="002A17BC"/>
    <w:rsid w:val="002A1AE5"/>
    <w:rsid w:val="002A1D4E"/>
    <w:rsid w:val="002A1F9B"/>
    <w:rsid w:val="002A1FD1"/>
    <w:rsid w:val="002A2869"/>
    <w:rsid w:val="002A2980"/>
    <w:rsid w:val="002A2A87"/>
    <w:rsid w:val="002A2DB3"/>
    <w:rsid w:val="002A30D2"/>
    <w:rsid w:val="002A379D"/>
    <w:rsid w:val="002A3828"/>
    <w:rsid w:val="002A3B66"/>
    <w:rsid w:val="002A454A"/>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629"/>
    <w:rsid w:val="002C074E"/>
    <w:rsid w:val="002C087A"/>
    <w:rsid w:val="002C0960"/>
    <w:rsid w:val="002C0D80"/>
    <w:rsid w:val="002C1A81"/>
    <w:rsid w:val="002C1AAA"/>
    <w:rsid w:val="002C2156"/>
    <w:rsid w:val="002C2322"/>
    <w:rsid w:val="002C2B77"/>
    <w:rsid w:val="002C358A"/>
    <w:rsid w:val="002C3947"/>
    <w:rsid w:val="002C3A69"/>
    <w:rsid w:val="002C3C7A"/>
    <w:rsid w:val="002C3D9E"/>
    <w:rsid w:val="002C3F82"/>
    <w:rsid w:val="002C400D"/>
    <w:rsid w:val="002C41E6"/>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E61"/>
    <w:rsid w:val="002D1321"/>
    <w:rsid w:val="002D137E"/>
    <w:rsid w:val="002D1A24"/>
    <w:rsid w:val="002D1A8F"/>
    <w:rsid w:val="002D1F40"/>
    <w:rsid w:val="002D2038"/>
    <w:rsid w:val="002D20A8"/>
    <w:rsid w:val="002D20BB"/>
    <w:rsid w:val="002D20E1"/>
    <w:rsid w:val="002D242A"/>
    <w:rsid w:val="002D24A1"/>
    <w:rsid w:val="002D2908"/>
    <w:rsid w:val="002D2E77"/>
    <w:rsid w:val="002D31F0"/>
    <w:rsid w:val="002D32CB"/>
    <w:rsid w:val="002D34B2"/>
    <w:rsid w:val="002D4322"/>
    <w:rsid w:val="002D4350"/>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3224"/>
    <w:rsid w:val="002E3428"/>
    <w:rsid w:val="002E354C"/>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BA1"/>
    <w:rsid w:val="00310E0D"/>
    <w:rsid w:val="00311096"/>
    <w:rsid w:val="00311702"/>
    <w:rsid w:val="00311E82"/>
    <w:rsid w:val="00312190"/>
    <w:rsid w:val="003126C7"/>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D99"/>
    <w:rsid w:val="00317EEF"/>
    <w:rsid w:val="003203ED"/>
    <w:rsid w:val="003208B0"/>
    <w:rsid w:val="00320E22"/>
    <w:rsid w:val="003212DB"/>
    <w:rsid w:val="00322154"/>
    <w:rsid w:val="003222AB"/>
    <w:rsid w:val="003229F3"/>
    <w:rsid w:val="00322C9F"/>
    <w:rsid w:val="003230F9"/>
    <w:rsid w:val="00323558"/>
    <w:rsid w:val="00323ACB"/>
    <w:rsid w:val="00323B73"/>
    <w:rsid w:val="00323EED"/>
    <w:rsid w:val="00324402"/>
    <w:rsid w:val="0032487D"/>
    <w:rsid w:val="003249E4"/>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143"/>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1EDB"/>
    <w:rsid w:val="00342BD7"/>
    <w:rsid w:val="00342E02"/>
    <w:rsid w:val="00343100"/>
    <w:rsid w:val="00343459"/>
    <w:rsid w:val="003435AB"/>
    <w:rsid w:val="00343A07"/>
    <w:rsid w:val="00343F15"/>
    <w:rsid w:val="0034458D"/>
    <w:rsid w:val="00344FB1"/>
    <w:rsid w:val="0034507C"/>
    <w:rsid w:val="00345569"/>
    <w:rsid w:val="00345864"/>
    <w:rsid w:val="00345924"/>
    <w:rsid w:val="00346574"/>
    <w:rsid w:val="0034663D"/>
    <w:rsid w:val="0034690A"/>
    <w:rsid w:val="00346AA0"/>
    <w:rsid w:val="00346DB5"/>
    <w:rsid w:val="00346F20"/>
    <w:rsid w:val="003473CE"/>
    <w:rsid w:val="003477B1"/>
    <w:rsid w:val="0034788B"/>
    <w:rsid w:val="003501D7"/>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67943"/>
    <w:rsid w:val="003708D2"/>
    <w:rsid w:val="00370E47"/>
    <w:rsid w:val="00371181"/>
    <w:rsid w:val="003716A5"/>
    <w:rsid w:val="00372570"/>
    <w:rsid w:val="00372D32"/>
    <w:rsid w:val="0037322F"/>
    <w:rsid w:val="0037323B"/>
    <w:rsid w:val="00374042"/>
    <w:rsid w:val="003742AC"/>
    <w:rsid w:val="00374839"/>
    <w:rsid w:val="003759BA"/>
    <w:rsid w:val="003762E9"/>
    <w:rsid w:val="00376A1A"/>
    <w:rsid w:val="00376B9D"/>
    <w:rsid w:val="00377CE1"/>
    <w:rsid w:val="003807F1"/>
    <w:rsid w:val="00380CEE"/>
    <w:rsid w:val="003815BB"/>
    <w:rsid w:val="00381638"/>
    <w:rsid w:val="0038168D"/>
    <w:rsid w:val="003817E4"/>
    <w:rsid w:val="00382541"/>
    <w:rsid w:val="00383C13"/>
    <w:rsid w:val="00384372"/>
    <w:rsid w:val="00384F45"/>
    <w:rsid w:val="00385112"/>
    <w:rsid w:val="0038531D"/>
    <w:rsid w:val="0038545B"/>
    <w:rsid w:val="00385BF0"/>
    <w:rsid w:val="00385C75"/>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15D"/>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C4A"/>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3FA5"/>
    <w:rsid w:val="003D40F8"/>
    <w:rsid w:val="003D47C1"/>
    <w:rsid w:val="003D4ECB"/>
    <w:rsid w:val="003D5B1F"/>
    <w:rsid w:val="003D5BB1"/>
    <w:rsid w:val="003D5ED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C21"/>
    <w:rsid w:val="003E1D4C"/>
    <w:rsid w:val="003E2653"/>
    <w:rsid w:val="003E33C2"/>
    <w:rsid w:val="003E3A14"/>
    <w:rsid w:val="003E3C4D"/>
    <w:rsid w:val="003E3DF5"/>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735"/>
    <w:rsid w:val="0040288A"/>
    <w:rsid w:val="00402E2B"/>
    <w:rsid w:val="004030A7"/>
    <w:rsid w:val="00403926"/>
    <w:rsid w:val="00403DBB"/>
    <w:rsid w:val="00404311"/>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4E74"/>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6B4B"/>
    <w:rsid w:val="004471F5"/>
    <w:rsid w:val="004473A5"/>
    <w:rsid w:val="00447607"/>
    <w:rsid w:val="00447626"/>
    <w:rsid w:val="00447B1C"/>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57D24"/>
    <w:rsid w:val="00460601"/>
    <w:rsid w:val="00460721"/>
    <w:rsid w:val="00460746"/>
    <w:rsid w:val="004614A2"/>
    <w:rsid w:val="00461811"/>
    <w:rsid w:val="004619F9"/>
    <w:rsid w:val="00461C75"/>
    <w:rsid w:val="00461EBB"/>
    <w:rsid w:val="004621E8"/>
    <w:rsid w:val="00462850"/>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77A66"/>
    <w:rsid w:val="004808FD"/>
    <w:rsid w:val="00480B95"/>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8AA"/>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33E1"/>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AB7"/>
    <w:rsid w:val="004B14ED"/>
    <w:rsid w:val="004B20F8"/>
    <w:rsid w:val="004B31AC"/>
    <w:rsid w:val="004B3672"/>
    <w:rsid w:val="004B3EF9"/>
    <w:rsid w:val="004B3F31"/>
    <w:rsid w:val="004B409C"/>
    <w:rsid w:val="004B58C3"/>
    <w:rsid w:val="004B5A91"/>
    <w:rsid w:val="004B6327"/>
    <w:rsid w:val="004B676B"/>
    <w:rsid w:val="004B697C"/>
    <w:rsid w:val="004B70A5"/>
    <w:rsid w:val="004B75D1"/>
    <w:rsid w:val="004B7821"/>
    <w:rsid w:val="004B7BFD"/>
    <w:rsid w:val="004B7C0C"/>
    <w:rsid w:val="004B7CA2"/>
    <w:rsid w:val="004C0045"/>
    <w:rsid w:val="004C01DC"/>
    <w:rsid w:val="004C0486"/>
    <w:rsid w:val="004C04EF"/>
    <w:rsid w:val="004C0D60"/>
    <w:rsid w:val="004C0F6D"/>
    <w:rsid w:val="004C1682"/>
    <w:rsid w:val="004C1ABA"/>
    <w:rsid w:val="004C250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76F"/>
    <w:rsid w:val="004D2AF0"/>
    <w:rsid w:val="004D2C5B"/>
    <w:rsid w:val="004D2CD3"/>
    <w:rsid w:val="004D3045"/>
    <w:rsid w:val="004D3070"/>
    <w:rsid w:val="004D36B1"/>
    <w:rsid w:val="004D3D8D"/>
    <w:rsid w:val="004D4C97"/>
    <w:rsid w:val="004D4FB4"/>
    <w:rsid w:val="004D57E5"/>
    <w:rsid w:val="004D5BF9"/>
    <w:rsid w:val="004D7B79"/>
    <w:rsid w:val="004D7E92"/>
    <w:rsid w:val="004D7EBD"/>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F2"/>
    <w:rsid w:val="004E6A78"/>
    <w:rsid w:val="004E6C24"/>
    <w:rsid w:val="004E6D4B"/>
    <w:rsid w:val="004E734C"/>
    <w:rsid w:val="004E7438"/>
    <w:rsid w:val="004E76F4"/>
    <w:rsid w:val="004E78DB"/>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21A"/>
    <w:rsid w:val="00502276"/>
    <w:rsid w:val="00502A17"/>
    <w:rsid w:val="00502F34"/>
    <w:rsid w:val="00503108"/>
    <w:rsid w:val="00503277"/>
    <w:rsid w:val="005035B7"/>
    <w:rsid w:val="0050379C"/>
    <w:rsid w:val="00504146"/>
    <w:rsid w:val="005049A5"/>
    <w:rsid w:val="00505423"/>
    <w:rsid w:val="0050610D"/>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690D"/>
    <w:rsid w:val="005169FF"/>
    <w:rsid w:val="00517725"/>
    <w:rsid w:val="0051789C"/>
    <w:rsid w:val="005178BC"/>
    <w:rsid w:val="00517ED8"/>
    <w:rsid w:val="00520327"/>
    <w:rsid w:val="005207D9"/>
    <w:rsid w:val="0052119C"/>
    <w:rsid w:val="005212C3"/>
    <w:rsid w:val="005215D8"/>
    <w:rsid w:val="00521780"/>
    <w:rsid w:val="005219CF"/>
    <w:rsid w:val="00521CAF"/>
    <w:rsid w:val="00521DA4"/>
    <w:rsid w:val="00521EBB"/>
    <w:rsid w:val="00522248"/>
    <w:rsid w:val="0052313A"/>
    <w:rsid w:val="00523CD1"/>
    <w:rsid w:val="00523D37"/>
    <w:rsid w:val="00524496"/>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188"/>
    <w:rsid w:val="005418FC"/>
    <w:rsid w:val="00541DD6"/>
    <w:rsid w:val="00542206"/>
    <w:rsid w:val="0054238A"/>
    <w:rsid w:val="00542897"/>
    <w:rsid w:val="00542899"/>
    <w:rsid w:val="00542A81"/>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6504"/>
    <w:rsid w:val="00556E14"/>
    <w:rsid w:val="005575D5"/>
    <w:rsid w:val="00560280"/>
    <w:rsid w:val="00560304"/>
    <w:rsid w:val="00560655"/>
    <w:rsid w:val="0056121F"/>
    <w:rsid w:val="00561658"/>
    <w:rsid w:val="005617CF"/>
    <w:rsid w:val="00561C13"/>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32"/>
    <w:rsid w:val="00571A63"/>
    <w:rsid w:val="00572450"/>
    <w:rsid w:val="00572505"/>
    <w:rsid w:val="00572656"/>
    <w:rsid w:val="0057277C"/>
    <w:rsid w:val="00573663"/>
    <w:rsid w:val="005739F2"/>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809"/>
    <w:rsid w:val="00582C50"/>
    <w:rsid w:val="00582E08"/>
    <w:rsid w:val="00582E97"/>
    <w:rsid w:val="00582FEB"/>
    <w:rsid w:val="00583474"/>
    <w:rsid w:val="00583C22"/>
    <w:rsid w:val="00583C62"/>
    <w:rsid w:val="00584529"/>
    <w:rsid w:val="00584668"/>
    <w:rsid w:val="00585462"/>
    <w:rsid w:val="00585911"/>
    <w:rsid w:val="00586FEE"/>
    <w:rsid w:val="0058704B"/>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6354"/>
    <w:rsid w:val="005A64F1"/>
    <w:rsid w:val="005A662D"/>
    <w:rsid w:val="005A6A3F"/>
    <w:rsid w:val="005A74A1"/>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F83"/>
    <w:rsid w:val="005B7A0C"/>
    <w:rsid w:val="005B7A20"/>
    <w:rsid w:val="005C0B47"/>
    <w:rsid w:val="005C113B"/>
    <w:rsid w:val="005C1E43"/>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C40"/>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2534"/>
    <w:rsid w:val="005E385F"/>
    <w:rsid w:val="005E3997"/>
    <w:rsid w:val="005E3DE7"/>
    <w:rsid w:val="005E3EEB"/>
    <w:rsid w:val="005E43CB"/>
    <w:rsid w:val="005E47AE"/>
    <w:rsid w:val="005E5197"/>
    <w:rsid w:val="005E53B0"/>
    <w:rsid w:val="005E5B81"/>
    <w:rsid w:val="005E6250"/>
    <w:rsid w:val="005E644A"/>
    <w:rsid w:val="005E72E7"/>
    <w:rsid w:val="005E755A"/>
    <w:rsid w:val="005E7FA1"/>
    <w:rsid w:val="005F062F"/>
    <w:rsid w:val="005F14A2"/>
    <w:rsid w:val="005F164E"/>
    <w:rsid w:val="005F1793"/>
    <w:rsid w:val="005F19E3"/>
    <w:rsid w:val="005F1C77"/>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6A1"/>
    <w:rsid w:val="0060283C"/>
    <w:rsid w:val="00603D39"/>
    <w:rsid w:val="00604443"/>
    <w:rsid w:val="00604BA5"/>
    <w:rsid w:val="00604F14"/>
    <w:rsid w:val="00605391"/>
    <w:rsid w:val="0060539F"/>
    <w:rsid w:val="00605732"/>
    <w:rsid w:val="00605A32"/>
    <w:rsid w:val="00605F62"/>
    <w:rsid w:val="00606360"/>
    <w:rsid w:val="006063CC"/>
    <w:rsid w:val="00606643"/>
    <w:rsid w:val="00607677"/>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37863"/>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3B57"/>
    <w:rsid w:val="0064404C"/>
    <w:rsid w:val="006448CD"/>
    <w:rsid w:val="00644E24"/>
    <w:rsid w:val="00645250"/>
    <w:rsid w:val="00645D60"/>
    <w:rsid w:val="00645F60"/>
    <w:rsid w:val="0064624E"/>
    <w:rsid w:val="0064641E"/>
    <w:rsid w:val="00647230"/>
    <w:rsid w:val="00650AB9"/>
    <w:rsid w:val="00650EEB"/>
    <w:rsid w:val="00651227"/>
    <w:rsid w:val="00651439"/>
    <w:rsid w:val="00651D89"/>
    <w:rsid w:val="00651E42"/>
    <w:rsid w:val="0065228D"/>
    <w:rsid w:val="006527FB"/>
    <w:rsid w:val="00652FFC"/>
    <w:rsid w:val="00653162"/>
    <w:rsid w:val="00653583"/>
    <w:rsid w:val="00653B2B"/>
    <w:rsid w:val="00654221"/>
    <w:rsid w:val="0065480C"/>
    <w:rsid w:val="00655733"/>
    <w:rsid w:val="00655751"/>
    <w:rsid w:val="00655ACD"/>
    <w:rsid w:val="00655F1C"/>
    <w:rsid w:val="00655F47"/>
    <w:rsid w:val="00655FC0"/>
    <w:rsid w:val="0065609B"/>
    <w:rsid w:val="00656A92"/>
    <w:rsid w:val="00656AE0"/>
    <w:rsid w:val="00656DDE"/>
    <w:rsid w:val="00657C43"/>
    <w:rsid w:val="00657E56"/>
    <w:rsid w:val="00657F22"/>
    <w:rsid w:val="0066011D"/>
    <w:rsid w:val="006601C6"/>
    <w:rsid w:val="006607C0"/>
    <w:rsid w:val="006613A6"/>
    <w:rsid w:val="00661B2D"/>
    <w:rsid w:val="00661BCA"/>
    <w:rsid w:val="006623DD"/>
    <w:rsid w:val="006627A2"/>
    <w:rsid w:val="006629CC"/>
    <w:rsid w:val="00662F83"/>
    <w:rsid w:val="006633D7"/>
    <w:rsid w:val="006634E6"/>
    <w:rsid w:val="0066359C"/>
    <w:rsid w:val="00663BD2"/>
    <w:rsid w:val="00663BF2"/>
    <w:rsid w:val="00663C2D"/>
    <w:rsid w:val="00663E40"/>
    <w:rsid w:val="00663FA1"/>
    <w:rsid w:val="00664A3A"/>
    <w:rsid w:val="006655EE"/>
    <w:rsid w:val="006667EE"/>
    <w:rsid w:val="006669B6"/>
    <w:rsid w:val="00666BFB"/>
    <w:rsid w:val="00666E03"/>
    <w:rsid w:val="0066738B"/>
    <w:rsid w:val="00667B8D"/>
    <w:rsid w:val="00667EE7"/>
    <w:rsid w:val="00670237"/>
    <w:rsid w:val="00670922"/>
    <w:rsid w:val="00670BE1"/>
    <w:rsid w:val="00670E9F"/>
    <w:rsid w:val="006713FA"/>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21D2"/>
    <w:rsid w:val="00682331"/>
    <w:rsid w:val="00682A5C"/>
    <w:rsid w:val="00682B50"/>
    <w:rsid w:val="00682E80"/>
    <w:rsid w:val="00682EA0"/>
    <w:rsid w:val="00683094"/>
    <w:rsid w:val="00683ECE"/>
    <w:rsid w:val="00683FC1"/>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947"/>
    <w:rsid w:val="00692C2A"/>
    <w:rsid w:val="00693420"/>
    <w:rsid w:val="00693EE0"/>
    <w:rsid w:val="0069452C"/>
    <w:rsid w:val="00694CE9"/>
    <w:rsid w:val="006956A6"/>
    <w:rsid w:val="0069589F"/>
    <w:rsid w:val="00695BA8"/>
    <w:rsid w:val="00695FC2"/>
    <w:rsid w:val="0069601D"/>
    <w:rsid w:val="00696949"/>
    <w:rsid w:val="00696FAE"/>
    <w:rsid w:val="00697052"/>
    <w:rsid w:val="00697951"/>
    <w:rsid w:val="00697BAE"/>
    <w:rsid w:val="006A029A"/>
    <w:rsid w:val="006A06AD"/>
    <w:rsid w:val="006A06B8"/>
    <w:rsid w:val="006A0A9A"/>
    <w:rsid w:val="006A1AF7"/>
    <w:rsid w:val="006A1E84"/>
    <w:rsid w:val="006A2039"/>
    <w:rsid w:val="006A27A1"/>
    <w:rsid w:val="006A282A"/>
    <w:rsid w:val="006A3A20"/>
    <w:rsid w:val="006A41DA"/>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35CA"/>
    <w:rsid w:val="006B50CF"/>
    <w:rsid w:val="006B5460"/>
    <w:rsid w:val="006B639B"/>
    <w:rsid w:val="006B796F"/>
    <w:rsid w:val="006B7ED0"/>
    <w:rsid w:val="006C0238"/>
    <w:rsid w:val="006C03B8"/>
    <w:rsid w:val="006C100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166"/>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5F31"/>
    <w:rsid w:val="006D6128"/>
    <w:rsid w:val="006D630F"/>
    <w:rsid w:val="006D63B3"/>
    <w:rsid w:val="006D6F08"/>
    <w:rsid w:val="006D70A5"/>
    <w:rsid w:val="006D7606"/>
    <w:rsid w:val="006D7CCE"/>
    <w:rsid w:val="006D7E72"/>
    <w:rsid w:val="006E01C9"/>
    <w:rsid w:val="006E03A1"/>
    <w:rsid w:val="006E04DA"/>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A5"/>
    <w:rsid w:val="006F0AFE"/>
    <w:rsid w:val="006F0C31"/>
    <w:rsid w:val="006F1B70"/>
    <w:rsid w:val="006F1E38"/>
    <w:rsid w:val="006F2117"/>
    <w:rsid w:val="006F2235"/>
    <w:rsid w:val="006F263E"/>
    <w:rsid w:val="006F2DD7"/>
    <w:rsid w:val="006F341D"/>
    <w:rsid w:val="006F3931"/>
    <w:rsid w:val="006F3CDE"/>
    <w:rsid w:val="006F3E21"/>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37F"/>
    <w:rsid w:val="007055C7"/>
    <w:rsid w:val="007057B5"/>
    <w:rsid w:val="00705A56"/>
    <w:rsid w:val="00705C5D"/>
    <w:rsid w:val="00706101"/>
    <w:rsid w:val="0070640D"/>
    <w:rsid w:val="0070658A"/>
    <w:rsid w:val="00707072"/>
    <w:rsid w:val="0070723A"/>
    <w:rsid w:val="00707596"/>
    <w:rsid w:val="00707D61"/>
    <w:rsid w:val="00707F10"/>
    <w:rsid w:val="00710FCF"/>
    <w:rsid w:val="007116B4"/>
    <w:rsid w:val="007117E0"/>
    <w:rsid w:val="00711927"/>
    <w:rsid w:val="00711FF0"/>
    <w:rsid w:val="00712287"/>
    <w:rsid w:val="00712772"/>
    <w:rsid w:val="00712775"/>
    <w:rsid w:val="00712882"/>
    <w:rsid w:val="0071291B"/>
    <w:rsid w:val="00712C65"/>
    <w:rsid w:val="0071303E"/>
    <w:rsid w:val="00713308"/>
    <w:rsid w:val="00713B4C"/>
    <w:rsid w:val="00714130"/>
    <w:rsid w:val="007142F8"/>
    <w:rsid w:val="007145B7"/>
    <w:rsid w:val="007148D3"/>
    <w:rsid w:val="00714DD1"/>
    <w:rsid w:val="00715B9A"/>
    <w:rsid w:val="00715DF5"/>
    <w:rsid w:val="007160F6"/>
    <w:rsid w:val="00716359"/>
    <w:rsid w:val="00716557"/>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430"/>
    <w:rsid w:val="007255D2"/>
    <w:rsid w:val="00725CDF"/>
    <w:rsid w:val="00726422"/>
    <w:rsid w:val="00726EA6"/>
    <w:rsid w:val="00727208"/>
    <w:rsid w:val="007273E6"/>
    <w:rsid w:val="0072766F"/>
    <w:rsid w:val="00727680"/>
    <w:rsid w:val="00727BE1"/>
    <w:rsid w:val="00727EC3"/>
    <w:rsid w:val="00730091"/>
    <w:rsid w:val="007301DD"/>
    <w:rsid w:val="00730860"/>
    <w:rsid w:val="007308A2"/>
    <w:rsid w:val="00731E32"/>
    <w:rsid w:val="00732DF9"/>
    <w:rsid w:val="0073317F"/>
    <w:rsid w:val="00733BDE"/>
    <w:rsid w:val="007340C9"/>
    <w:rsid w:val="0073426F"/>
    <w:rsid w:val="00734874"/>
    <w:rsid w:val="007348B1"/>
    <w:rsid w:val="00734B23"/>
    <w:rsid w:val="007356CD"/>
    <w:rsid w:val="007358ED"/>
    <w:rsid w:val="007361C8"/>
    <w:rsid w:val="007362A6"/>
    <w:rsid w:val="007362FF"/>
    <w:rsid w:val="00736657"/>
    <w:rsid w:val="0073666A"/>
    <w:rsid w:val="00736D7D"/>
    <w:rsid w:val="007373D3"/>
    <w:rsid w:val="00737F7B"/>
    <w:rsid w:val="007405B3"/>
    <w:rsid w:val="00740B36"/>
    <w:rsid w:val="00740E58"/>
    <w:rsid w:val="00740F0B"/>
    <w:rsid w:val="0074211F"/>
    <w:rsid w:val="007422EF"/>
    <w:rsid w:val="007429DC"/>
    <w:rsid w:val="00742A0C"/>
    <w:rsid w:val="00742C2D"/>
    <w:rsid w:val="00742CCF"/>
    <w:rsid w:val="00743CAB"/>
    <w:rsid w:val="00743E60"/>
    <w:rsid w:val="00744007"/>
    <w:rsid w:val="00744376"/>
    <w:rsid w:val="007445A0"/>
    <w:rsid w:val="007448FE"/>
    <w:rsid w:val="0074524B"/>
    <w:rsid w:val="007455B1"/>
    <w:rsid w:val="00745C9E"/>
    <w:rsid w:val="00746B70"/>
    <w:rsid w:val="007473A1"/>
    <w:rsid w:val="007474EC"/>
    <w:rsid w:val="00747BA4"/>
    <w:rsid w:val="00747D8B"/>
    <w:rsid w:val="00750C8C"/>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5F2A"/>
    <w:rsid w:val="007868B9"/>
    <w:rsid w:val="00786B35"/>
    <w:rsid w:val="00786B46"/>
    <w:rsid w:val="00786CB8"/>
    <w:rsid w:val="00786FAC"/>
    <w:rsid w:val="00787534"/>
    <w:rsid w:val="007875D4"/>
    <w:rsid w:val="00787CEA"/>
    <w:rsid w:val="0079005B"/>
    <w:rsid w:val="007903B3"/>
    <w:rsid w:val="00790AAA"/>
    <w:rsid w:val="00790B0C"/>
    <w:rsid w:val="00790E4F"/>
    <w:rsid w:val="00791088"/>
    <w:rsid w:val="00791950"/>
    <w:rsid w:val="00792412"/>
    <w:rsid w:val="007925EA"/>
    <w:rsid w:val="00792927"/>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1FAB"/>
    <w:rsid w:val="007A24E1"/>
    <w:rsid w:val="007A2CF7"/>
    <w:rsid w:val="007A306F"/>
    <w:rsid w:val="007A3472"/>
    <w:rsid w:val="007A3C8F"/>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BCB"/>
    <w:rsid w:val="007C3D18"/>
    <w:rsid w:val="007C3E73"/>
    <w:rsid w:val="007C47C9"/>
    <w:rsid w:val="007C4DA2"/>
    <w:rsid w:val="007C60BF"/>
    <w:rsid w:val="007C6A07"/>
    <w:rsid w:val="007C71F3"/>
    <w:rsid w:val="007C7350"/>
    <w:rsid w:val="007C75A1"/>
    <w:rsid w:val="007C77A5"/>
    <w:rsid w:val="007D007E"/>
    <w:rsid w:val="007D0457"/>
    <w:rsid w:val="007D04E5"/>
    <w:rsid w:val="007D0C86"/>
    <w:rsid w:val="007D0EAF"/>
    <w:rsid w:val="007D1027"/>
    <w:rsid w:val="007D137B"/>
    <w:rsid w:val="007D1FCB"/>
    <w:rsid w:val="007D1FFB"/>
    <w:rsid w:val="007D29F2"/>
    <w:rsid w:val="007D2CF6"/>
    <w:rsid w:val="007D2EA2"/>
    <w:rsid w:val="007D3223"/>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29FE"/>
    <w:rsid w:val="007F3056"/>
    <w:rsid w:val="007F30B7"/>
    <w:rsid w:val="007F31D4"/>
    <w:rsid w:val="007F3AD7"/>
    <w:rsid w:val="007F49C8"/>
    <w:rsid w:val="007F5CDD"/>
    <w:rsid w:val="007F5D6F"/>
    <w:rsid w:val="007F69D1"/>
    <w:rsid w:val="007F6B18"/>
    <w:rsid w:val="007F7134"/>
    <w:rsid w:val="00800873"/>
    <w:rsid w:val="00800FF0"/>
    <w:rsid w:val="00801259"/>
    <w:rsid w:val="008019AB"/>
    <w:rsid w:val="00801AAC"/>
    <w:rsid w:val="00801B94"/>
    <w:rsid w:val="00801D51"/>
    <w:rsid w:val="0080223B"/>
    <w:rsid w:val="00802E78"/>
    <w:rsid w:val="00803EAA"/>
    <w:rsid w:val="00803FAE"/>
    <w:rsid w:val="0080409E"/>
    <w:rsid w:val="00804745"/>
    <w:rsid w:val="0080481B"/>
    <w:rsid w:val="0080503E"/>
    <w:rsid w:val="00805290"/>
    <w:rsid w:val="0080573A"/>
    <w:rsid w:val="0080587D"/>
    <w:rsid w:val="0080605F"/>
    <w:rsid w:val="008060AD"/>
    <w:rsid w:val="00806774"/>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6B59"/>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6A8"/>
    <w:rsid w:val="00850CEC"/>
    <w:rsid w:val="0085173C"/>
    <w:rsid w:val="00851DEC"/>
    <w:rsid w:val="00852C9F"/>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AF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BB0"/>
    <w:rsid w:val="00893E09"/>
    <w:rsid w:val="00893EF3"/>
    <w:rsid w:val="008940EB"/>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1A8"/>
    <w:rsid w:val="008A6602"/>
    <w:rsid w:val="008A67BD"/>
    <w:rsid w:val="008A6828"/>
    <w:rsid w:val="008A688C"/>
    <w:rsid w:val="008A6ABF"/>
    <w:rsid w:val="008A6EFE"/>
    <w:rsid w:val="008A7415"/>
    <w:rsid w:val="008A77D8"/>
    <w:rsid w:val="008A781B"/>
    <w:rsid w:val="008A7B95"/>
    <w:rsid w:val="008A7F00"/>
    <w:rsid w:val="008A7FB0"/>
    <w:rsid w:val="008A7FFA"/>
    <w:rsid w:val="008B013C"/>
    <w:rsid w:val="008B0483"/>
    <w:rsid w:val="008B11E8"/>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573"/>
    <w:rsid w:val="008D06CC"/>
    <w:rsid w:val="008D0A60"/>
    <w:rsid w:val="008D0C67"/>
    <w:rsid w:val="008D17F8"/>
    <w:rsid w:val="008D1BE9"/>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16"/>
    <w:rsid w:val="008E2905"/>
    <w:rsid w:val="008E2FF6"/>
    <w:rsid w:val="008E3234"/>
    <w:rsid w:val="008E34E5"/>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4178"/>
    <w:rsid w:val="00914AD8"/>
    <w:rsid w:val="009154AA"/>
    <w:rsid w:val="00915612"/>
    <w:rsid w:val="00915975"/>
    <w:rsid w:val="00916079"/>
    <w:rsid w:val="00916569"/>
    <w:rsid w:val="0091692E"/>
    <w:rsid w:val="00917948"/>
    <w:rsid w:val="00917C1D"/>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7868"/>
    <w:rsid w:val="009279D3"/>
    <w:rsid w:val="00927B3F"/>
    <w:rsid w:val="00930CCF"/>
    <w:rsid w:val="00930E68"/>
    <w:rsid w:val="00931148"/>
    <w:rsid w:val="0093117F"/>
    <w:rsid w:val="009316B4"/>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48"/>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9E2"/>
    <w:rsid w:val="00952F71"/>
    <w:rsid w:val="009533E3"/>
    <w:rsid w:val="00953454"/>
    <w:rsid w:val="0095358A"/>
    <w:rsid w:val="00953920"/>
    <w:rsid w:val="00953D47"/>
    <w:rsid w:val="0095403A"/>
    <w:rsid w:val="00954CC0"/>
    <w:rsid w:val="00954F4F"/>
    <w:rsid w:val="00955560"/>
    <w:rsid w:val="009555F2"/>
    <w:rsid w:val="00955BA3"/>
    <w:rsid w:val="0095681E"/>
    <w:rsid w:val="00956EFA"/>
    <w:rsid w:val="009572D4"/>
    <w:rsid w:val="0095766C"/>
    <w:rsid w:val="009605EB"/>
    <w:rsid w:val="00960696"/>
    <w:rsid w:val="00960E67"/>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1F8"/>
    <w:rsid w:val="009706AD"/>
    <w:rsid w:val="00970A40"/>
    <w:rsid w:val="00970B5A"/>
    <w:rsid w:val="00970E55"/>
    <w:rsid w:val="00971082"/>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ACF"/>
    <w:rsid w:val="00984B75"/>
    <w:rsid w:val="00984D3E"/>
    <w:rsid w:val="009851A6"/>
    <w:rsid w:val="00985253"/>
    <w:rsid w:val="009853B3"/>
    <w:rsid w:val="009856E0"/>
    <w:rsid w:val="009857C7"/>
    <w:rsid w:val="00986322"/>
    <w:rsid w:val="00986A07"/>
    <w:rsid w:val="00986F9F"/>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BCF"/>
    <w:rsid w:val="009A7567"/>
    <w:rsid w:val="009B0188"/>
    <w:rsid w:val="009B02EF"/>
    <w:rsid w:val="009B064B"/>
    <w:rsid w:val="009B0B48"/>
    <w:rsid w:val="009B0B6B"/>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CCF"/>
    <w:rsid w:val="009B7E87"/>
    <w:rsid w:val="009C01C0"/>
    <w:rsid w:val="009C04BA"/>
    <w:rsid w:val="009C053F"/>
    <w:rsid w:val="009C07EC"/>
    <w:rsid w:val="009C0956"/>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433"/>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8E4"/>
    <w:rsid w:val="009F4B63"/>
    <w:rsid w:val="009F5463"/>
    <w:rsid w:val="009F5E13"/>
    <w:rsid w:val="009F5E2F"/>
    <w:rsid w:val="009F5EAE"/>
    <w:rsid w:val="009F636A"/>
    <w:rsid w:val="009F67F6"/>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9B2"/>
    <w:rsid w:val="00A10C66"/>
    <w:rsid w:val="00A1106B"/>
    <w:rsid w:val="00A113F6"/>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119"/>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276"/>
    <w:rsid w:val="00A4151F"/>
    <w:rsid w:val="00A41966"/>
    <w:rsid w:val="00A41E2B"/>
    <w:rsid w:val="00A41EBF"/>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7D3"/>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95"/>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AC1"/>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F4E"/>
    <w:rsid w:val="00AA43F2"/>
    <w:rsid w:val="00AA51D6"/>
    <w:rsid w:val="00AA5304"/>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1D4"/>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C52"/>
    <w:rsid w:val="00AD7F5E"/>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BA"/>
    <w:rsid w:val="00B100B9"/>
    <w:rsid w:val="00B1052A"/>
    <w:rsid w:val="00B105F6"/>
    <w:rsid w:val="00B123E7"/>
    <w:rsid w:val="00B125F7"/>
    <w:rsid w:val="00B139E0"/>
    <w:rsid w:val="00B13E74"/>
    <w:rsid w:val="00B14335"/>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0A0C"/>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1E"/>
    <w:rsid w:val="00B40432"/>
    <w:rsid w:val="00B40445"/>
    <w:rsid w:val="00B40474"/>
    <w:rsid w:val="00B40BA1"/>
    <w:rsid w:val="00B40CB3"/>
    <w:rsid w:val="00B40DA5"/>
    <w:rsid w:val="00B41888"/>
    <w:rsid w:val="00B423F9"/>
    <w:rsid w:val="00B42655"/>
    <w:rsid w:val="00B4297F"/>
    <w:rsid w:val="00B4332C"/>
    <w:rsid w:val="00B44118"/>
    <w:rsid w:val="00B446E9"/>
    <w:rsid w:val="00B44A91"/>
    <w:rsid w:val="00B44F95"/>
    <w:rsid w:val="00B45A52"/>
    <w:rsid w:val="00B45AF9"/>
    <w:rsid w:val="00B46175"/>
    <w:rsid w:val="00B4670C"/>
    <w:rsid w:val="00B46AD4"/>
    <w:rsid w:val="00B46E76"/>
    <w:rsid w:val="00B4744D"/>
    <w:rsid w:val="00B47BEE"/>
    <w:rsid w:val="00B47EDA"/>
    <w:rsid w:val="00B5003B"/>
    <w:rsid w:val="00B50565"/>
    <w:rsid w:val="00B50B57"/>
    <w:rsid w:val="00B50BD3"/>
    <w:rsid w:val="00B50C4B"/>
    <w:rsid w:val="00B5120E"/>
    <w:rsid w:val="00B51602"/>
    <w:rsid w:val="00B51704"/>
    <w:rsid w:val="00B51FEE"/>
    <w:rsid w:val="00B52A53"/>
    <w:rsid w:val="00B52A99"/>
    <w:rsid w:val="00B52D7F"/>
    <w:rsid w:val="00B52D8B"/>
    <w:rsid w:val="00B53079"/>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11A"/>
    <w:rsid w:val="00B91BC9"/>
    <w:rsid w:val="00B91BF3"/>
    <w:rsid w:val="00B91D24"/>
    <w:rsid w:val="00B91DE3"/>
    <w:rsid w:val="00B9200E"/>
    <w:rsid w:val="00B923B3"/>
    <w:rsid w:val="00B92526"/>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44D"/>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DDD"/>
    <w:rsid w:val="00BA5E1B"/>
    <w:rsid w:val="00BA5ED6"/>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72D4"/>
    <w:rsid w:val="00BB749A"/>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C7651"/>
    <w:rsid w:val="00BD0084"/>
    <w:rsid w:val="00BD1169"/>
    <w:rsid w:val="00BD130D"/>
    <w:rsid w:val="00BD1823"/>
    <w:rsid w:val="00BD18B8"/>
    <w:rsid w:val="00BD1AA5"/>
    <w:rsid w:val="00BD2106"/>
    <w:rsid w:val="00BD221C"/>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934"/>
    <w:rsid w:val="00BE2FA6"/>
    <w:rsid w:val="00BE333F"/>
    <w:rsid w:val="00BE38DC"/>
    <w:rsid w:val="00BE3DB9"/>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508"/>
    <w:rsid w:val="00BF1B6B"/>
    <w:rsid w:val="00BF1D89"/>
    <w:rsid w:val="00BF21F9"/>
    <w:rsid w:val="00BF26D4"/>
    <w:rsid w:val="00BF2925"/>
    <w:rsid w:val="00BF3077"/>
    <w:rsid w:val="00BF3251"/>
    <w:rsid w:val="00BF3279"/>
    <w:rsid w:val="00BF33B7"/>
    <w:rsid w:val="00BF3B6B"/>
    <w:rsid w:val="00BF3DA4"/>
    <w:rsid w:val="00BF3E81"/>
    <w:rsid w:val="00BF3EC8"/>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3A9D"/>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FEA"/>
    <w:rsid w:val="00C1670D"/>
    <w:rsid w:val="00C16C9A"/>
    <w:rsid w:val="00C17159"/>
    <w:rsid w:val="00C173FB"/>
    <w:rsid w:val="00C177D6"/>
    <w:rsid w:val="00C20D14"/>
    <w:rsid w:val="00C214EA"/>
    <w:rsid w:val="00C218C5"/>
    <w:rsid w:val="00C2194A"/>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3FB7"/>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487A"/>
    <w:rsid w:val="00C45835"/>
    <w:rsid w:val="00C45F6E"/>
    <w:rsid w:val="00C46063"/>
    <w:rsid w:val="00C46240"/>
    <w:rsid w:val="00C4651C"/>
    <w:rsid w:val="00C471BE"/>
    <w:rsid w:val="00C47927"/>
    <w:rsid w:val="00C4799A"/>
    <w:rsid w:val="00C47E8C"/>
    <w:rsid w:val="00C504D0"/>
    <w:rsid w:val="00C505A0"/>
    <w:rsid w:val="00C509AE"/>
    <w:rsid w:val="00C50F43"/>
    <w:rsid w:val="00C51103"/>
    <w:rsid w:val="00C5168D"/>
    <w:rsid w:val="00C519C4"/>
    <w:rsid w:val="00C51BF6"/>
    <w:rsid w:val="00C5203D"/>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2F1"/>
    <w:rsid w:val="00C603AF"/>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803"/>
    <w:rsid w:val="00C71E5F"/>
    <w:rsid w:val="00C72EF4"/>
    <w:rsid w:val="00C73332"/>
    <w:rsid w:val="00C73931"/>
    <w:rsid w:val="00C752B6"/>
    <w:rsid w:val="00C7533A"/>
    <w:rsid w:val="00C75B8C"/>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9A1"/>
    <w:rsid w:val="00C90D9C"/>
    <w:rsid w:val="00C90EE9"/>
    <w:rsid w:val="00C910C3"/>
    <w:rsid w:val="00C91490"/>
    <w:rsid w:val="00C9182E"/>
    <w:rsid w:val="00C91F7D"/>
    <w:rsid w:val="00C91FCB"/>
    <w:rsid w:val="00C9206B"/>
    <w:rsid w:val="00C93196"/>
    <w:rsid w:val="00C93B42"/>
    <w:rsid w:val="00C93C4B"/>
    <w:rsid w:val="00C944AB"/>
    <w:rsid w:val="00C953CF"/>
    <w:rsid w:val="00C95592"/>
    <w:rsid w:val="00C95AE6"/>
    <w:rsid w:val="00C95B40"/>
    <w:rsid w:val="00C95F81"/>
    <w:rsid w:val="00C96D0C"/>
    <w:rsid w:val="00C971D9"/>
    <w:rsid w:val="00C97482"/>
    <w:rsid w:val="00C977D6"/>
    <w:rsid w:val="00C97924"/>
    <w:rsid w:val="00C97F36"/>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4E37"/>
    <w:rsid w:val="00CA5093"/>
    <w:rsid w:val="00CA5F74"/>
    <w:rsid w:val="00CA62A6"/>
    <w:rsid w:val="00CA6F09"/>
    <w:rsid w:val="00CA7373"/>
    <w:rsid w:val="00CA7550"/>
    <w:rsid w:val="00CB0A5E"/>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5CD"/>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E0424"/>
    <w:rsid w:val="00CE0CA1"/>
    <w:rsid w:val="00CE182B"/>
    <w:rsid w:val="00CE225F"/>
    <w:rsid w:val="00CE24E1"/>
    <w:rsid w:val="00CE2651"/>
    <w:rsid w:val="00CE2852"/>
    <w:rsid w:val="00CE2883"/>
    <w:rsid w:val="00CE2A8A"/>
    <w:rsid w:val="00CE30E7"/>
    <w:rsid w:val="00CE37DF"/>
    <w:rsid w:val="00CE3CFB"/>
    <w:rsid w:val="00CE5519"/>
    <w:rsid w:val="00CE56D0"/>
    <w:rsid w:val="00CE5A51"/>
    <w:rsid w:val="00CE74E6"/>
    <w:rsid w:val="00CE7561"/>
    <w:rsid w:val="00CE7D63"/>
    <w:rsid w:val="00CF1354"/>
    <w:rsid w:val="00CF1397"/>
    <w:rsid w:val="00CF27E3"/>
    <w:rsid w:val="00CF2914"/>
    <w:rsid w:val="00CF302B"/>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3A6"/>
    <w:rsid w:val="00D165B8"/>
    <w:rsid w:val="00D17CE4"/>
    <w:rsid w:val="00D2006E"/>
    <w:rsid w:val="00D21672"/>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4BF0"/>
    <w:rsid w:val="00D5544B"/>
    <w:rsid w:val="00D55955"/>
    <w:rsid w:val="00D55AD5"/>
    <w:rsid w:val="00D55C3B"/>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1207"/>
    <w:rsid w:val="00D72099"/>
    <w:rsid w:val="00D7268D"/>
    <w:rsid w:val="00D73192"/>
    <w:rsid w:val="00D73427"/>
    <w:rsid w:val="00D73A16"/>
    <w:rsid w:val="00D74277"/>
    <w:rsid w:val="00D74AEC"/>
    <w:rsid w:val="00D7588A"/>
    <w:rsid w:val="00D75936"/>
    <w:rsid w:val="00D75C6D"/>
    <w:rsid w:val="00D76EF1"/>
    <w:rsid w:val="00D773FC"/>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0B4"/>
    <w:rsid w:val="00D86189"/>
    <w:rsid w:val="00D86B71"/>
    <w:rsid w:val="00D86CA3"/>
    <w:rsid w:val="00D87003"/>
    <w:rsid w:val="00D870F7"/>
    <w:rsid w:val="00D871CE"/>
    <w:rsid w:val="00D8787A"/>
    <w:rsid w:val="00D878A9"/>
    <w:rsid w:val="00D879A4"/>
    <w:rsid w:val="00D87C65"/>
    <w:rsid w:val="00D906A0"/>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3C"/>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5E0D"/>
    <w:rsid w:val="00DB6431"/>
    <w:rsid w:val="00DB7013"/>
    <w:rsid w:val="00DB7A41"/>
    <w:rsid w:val="00DB7A4E"/>
    <w:rsid w:val="00DB7B70"/>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DC4"/>
    <w:rsid w:val="00DE4FDC"/>
    <w:rsid w:val="00DE5233"/>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0ED"/>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6FD"/>
    <w:rsid w:val="00E00D7C"/>
    <w:rsid w:val="00E012C0"/>
    <w:rsid w:val="00E0139C"/>
    <w:rsid w:val="00E017F6"/>
    <w:rsid w:val="00E01A94"/>
    <w:rsid w:val="00E01E32"/>
    <w:rsid w:val="00E02498"/>
    <w:rsid w:val="00E02589"/>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0F4B"/>
    <w:rsid w:val="00E110E7"/>
    <w:rsid w:val="00E1133B"/>
    <w:rsid w:val="00E1196D"/>
    <w:rsid w:val="00E11B20"/>
    <w:rsid w:val="00E11FCB"/>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7720"/>
    <w:rsid w:val="00E17725"/>
    <w:rsid w:val="00E17FA2"/>
    <w:rsid w:val="00E20601"/>
    <w:rsid w:val="00E209C7"/>
    <w:rsid w:val="00E209D9"/>
    <w:rsid w:val="00E20A0E"/>
    <w:rsid w:val="00E20F0D"/>
    <w:rsid w:val="00E20FEC"/>
    <w:rsid w:val="00E22330"/>
    <w:rsid w:val="00E22FF2"/>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956"/>
    <w:rsid w:val="00E369FD"/>
    <w:rsid w:val="00E36EBA"/>
    <w:rsid w:val="00E371D3"/>
    <w:rsid w:val="00E3723A"/>
    <w:rsid w:val="00E374E2"/>
    <w:rsid w:val="00E37609"/>
    <w:rsid w:val="00E37860"/>
    <w:rsid w:val="00E379F0"/>
    <w:rsid w:val="00E37B1A"/>
    <w:rsid w:val="00E40026"/>
    <w:rsid w:val="00E403C9"/>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0526"/>
    <w:rsid w:val="00E51298"/>
    <w:rsid w:val="00E517E5"/>
    <w:rsid w:val="00E5219D"/>
    <w:rsid w:val="00E52A10"/>
    <w:rsid w:val="00E52E06"/>
    <w:rsid w:val="00E52E2F"/>
    <w:rsid w:val="00E53448"/>
    <w:rsid w:val="00E536E2"/>
    <w:rsid w:val="00E53974"/>
    <w:rsid w:val="00E53B75"/>
    <w:rsid w:val="00E54E3B"/>
    <w:rsid w:val="00E55710"/>
    <w:rsid w:val="00E557C6"/>
    <w:rsid w:val="00E55C1A"/>
    <w:rsid w:val="00E55C55"/>
    <w:rsid w:val="00E55D27"/>
    <w:rsid w:val="00E56B5B"/>
    <w:rsid w:val="00E56E08"/>
    <w:rsid w:val="00E5729C"/>
    <w:rsid w:val="00E572F1"/>
    <w:rsid w:val="00E5736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0B5E"/>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CF4"/>
    <w:rsid w:val="00E90E49"/>
    <w:rsid w:val="00E9142B"/>
    <w:rsid w:val="00E917F9"/>
    <w:rsid w:val="00E9180C"/>
    <w:rsid w:val="00E9291C"/>
    <w:rsid w:val="00E92EED"/>
    <w:rsid w:val="00E93F05"/>
    <w:rsid w:val="00E93FCE"/>
    <w:rsid w:val="00E93FFE"/>
    <w:rsid w:val="00E942F4"/>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6A9"/>
    <w:rsid w:val="00EA2CF1"/>
    <w:rsid w:val="00EA2D2E"/>
    <w:rsid w:val="00EA34FF"/>
    <w:rsid w:val="00EA4483"/>
    <w:rsid w:val="00EA5A5B"/>
    <w:rsid w:val="00EA5AA7"/>
    <w:rsid w:val="00EA6A36"/>
    <w:rsid w:val="00EA7056"/>
    <w:rsid w:val="00EA70B1"/>
    <w:rsid w:val="00EA7A41"/>
    <w:rsid w:val="00EA7B1E"/>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0A7C"/>
    <w:rsid w:val="00EC11EE"/>
    <w:rsid w:val="00EC1387"/>
    <w:rsid w:val="00EC17F7"/>
    <w:rsid w:val="00EC23A3"/>
    <w:rsid w:val="00EC25EF"/>
    <w:rsid w:val="00EC27C6"/>
    <w:rsid w:val="00EC2849"/>
    <w:rsid w:val="00EC2C02"/>
    <w:rsid w:val="00EC2CE4"/>
    <w:rsid w:val="00EC2FCF"/>
    <w:rsid w:val="00EC374B"/>
    <w:rsid w:val="00EC4207"/>
    <w:rsid w:val="00EC43BC"/>
    <w:rsid w:val="00EC49CE"/>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60E"/>
    <w:rsid w:val="00ED36F2"/>
    <w:rsid w:val="00ED3E2F"/>
    <w:rsid w:val="00ED4362"/>
    <w:rsid w:val="00ED454B"/>
    <w:rsid w:val="00ED45CB"/>
    <w:rsid w:val="00ED4917"/>
    <w:rsid w:val="00ED4975"/>
    <w:rsid w:val="00ED49D3"/>
    <w:rsid w:val="00ED4BF3"/>
    <w:rsid w:val="00ED4C85"/>
    <w:rsid w:val="00ED4FF4"/>
    <w:rsid w:val="00ED5BE7"/>
    <w:rsid w:val="00ED668D"/>
    <w:rsid w:val="00ED6C4B"/>
    <w:rsid w:val="00ED6DF2"/>
    <w:rsid w:val="00ED74C4"/>
    <w:rsid w:val="00ED7799"/>
    <w:rsid w:val="00ED7E54"/>
    <w:rsid w:val="00EE0CA6"/>
    <w:rsid w:val="00EE0E2C"/>
    <w:rsid w:val="00EE17AA"/>
    <w:rsid w:val="00EE1939"/>
    <w:rsid w:val="00EE2BB7"/>
    <w:rsid w:val="00EE2C5B"/>
    <w:rsid w:val="00EE2F9E"/>
    <w:rsid w:val="00EE35E9"/>
    <w:rsid w:val="00EE3C98"/>
    <w:rsid w:val="00EE409B"/>
    <w:rsid w:val="00EE45FA"/>
    <w:rsid w:val="00EE4643"/>
    <w:rsid w:val="00EE4C32"/>
    <w:rsid w:val="00EE4D0C"/>
    <w:rsid w:val="00EE5581"/>
    <w:rsid w:val="00EE5666"/>
    <w:rsid w:val="00EE5A1B"/>
    <w:rsid w:val="00EE5E53"/>
    <w:rsid w:val="00EE61CD"/>
    <w:rsid w:val="00EE626D"/>
    <w:rsid w:val="00EE6733"/>
    <w:rsid w:val="00EE674E"/>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460"/>
    <w:rsid w:val="00EF6FAF"/>
    <w:rsid w:val="00EF783B"/>
    <w:rsid w:val="00EF78F3"/>
    <w:rsid w:val="00EF79AC"/>
    <w:rsid w:val="00EF7F5C"/>
    <w:rsid w:val="00F000C5"/>
    <w:rsid w:val="00F00ADD"/>
    <w:rsid w:val="00F01E3C"/>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330"/>
    <w:rsid w:val="00F07533"/>
    <w:rsid w:val="00F07AA8"/>
    <w:rsid w:val="00F1019A"/>
    <w:rsid w:val="00F10629"/>
    <w:rsid w:val="00F106B3"/>
    <w:rsid w:val="00F10AA4"/>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A3"/>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56"/>
    <w:rsid w:val="00F449A7"/>
    <w:rsid w:val="00F44D2E"/>
    <w:rsid w:val="00F44F6A"/>
    <w:rsid w:val="00F44FEC"/>
    <w:rsid w:val="00F452B9"/>
    <w:rsid w:val="00F45D35"/>
    <w:rsid w:val="00F46010"/>
    <w:rsid w:val="00F46B03"/>
    <w:rsid w:val="00F46BF3"/>
    <w:rsid w:val="00F46FE6"/>
    <w:rsid w:val="00F47519"/>
    <w:rsid w:val="00F4766C"/>
    <w:rsid w:val="00F4790D"/>
    <w:rsid w:val="00F47973"/>
    <w:rsid w:val="00F501A2"/>
    <w:rsid w:val="00F507D1"/>
    <w:rsid w:val="00F50FA4"/>
    <w:rsid w:val="00F514C3"/>
    <w:rsid w:val="00F519CE"/>
    <w:rsid w:val="00F51ADA"/>
    <w:rsid w:val="00F5302E"/>
    <w:rsid w:val="00F53417"/>
    <w:rsid w:val="00F53EA5"/>
    <w:rsid w:val="00F54792"/>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1C85"/>
    <w:rsid w:val="00F6212D"/>
    <w:rsid w:val="00F6284D"/>
    <w:rsid w:val="00F62970"/>
    <w:rsid w:val="00F62E00"/>
    <w:rsid w:val="00F6302A"/>
    <w:rsid w:val="00F63055"/>
    <w:rsid w:val="00F638B3"/>
    <w:rsid w:val="00F639A8"/>
    <w:rsid w:val="00F64C2B"/>
    <w:rsid w:val="00F64F1B"/>
    <w:rsid w:val="00F650BF"/>
    <w:rsid w:val="00F651BE"/>
    <w:rsid w:val="00F65A96"/>
    <w:rsid w:val="00F672CB"/>
    <w:rsid w:val="00F676FE"/>
    <w:rsid w:val="00F678AD"/>
    <w:rsid w:val="00F67B02"/>
    <w:rsid w:val="00F67DCB"/>
    <w:rsid w:val="00F67F53"/>
    <w:rsid w:val="00F703BE"/>
    <w:rsid w:val="00F7049B"/>
    <w:rsid w:val="00F7074E"/>
    <w:rsid w:val="00F70C28"/>
    <w:rsid w:val="00F71308"/>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3892"/>
    <w:rsid w:val="00F84005"/>
    <w:rsid w:val="00F8431E"/>
    <w:rsid w:val="00F8456C"/>
    <w:rsid w:val="00F8488E"/>
    <w:rsid w:val="00F8498C"/>
    <w:rsid w:val="00F84C46"/>
    <w:rsid w:val="00F85349"/>
    <w:rsid w:val="00F8539B"/>
    <w:rsid w:val="00F8586A"/>
    <w:rsid w:val="00F859D8"/>
    <w:rsid w:val="00F85CA4"/>
    <w:rsid w:val="00F86137"/>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52DD"/>
    <w:rsid w:val="00F95AF6"/>
    <w:rsid w:val="00F96559"/>
    <w:rsid w:val="00F9686A"/>
    <w:rsid w:val="00F96985"/>
    <w:rsid w:val="00F96BDD"/>
    <w:rsid w:val="00F96C9D"/>
    <w:rsid w:val="00F96F0E"/>
    <w:rsid w:val="00F97015"/>
    <w:rsid w:val="00F9739A"/>
    <w:rsid w:val="00F97744"/>
    <w:rsid w:val="00F97838"/>
    <w:rsid w:val="00FA0638"/>
    <w:rsid w:val="00FA16F4"/>
    <w:rsid w:val="00FA1909"/>
    <w:rsid w:val="00FA24B8"/>
    <w:rsid w:val="00FA29A8"/>
    <w:rsid w:val="00FA2B9A"/>
    <w:rsid w:val="00FA2BB3"/>
    <w:rsid w:val="00FA4A57"/>
    <w:rsid w:val="00FA4E8B"/>
    <w:rsid w:val="00FA5339"/>
    <w:rsid w:val="00FA547C"/>
    <w:rsid w:val="00FA57C3"/>
    <w:rsid w:val="00FA585D"/>
    <w:rsid w:val="00FA6A7C"/>
    <w:rsid w:val="00FA72BF"/>
    <w:rsid w:val="00FA7362"/>
    <w:rsid w:val="00FA797C"/>
    <w:rsid w:val="00FA7ABE"/>
    <w:rsid w:val="00FB0445"/>
    <w:rsid w:val="00FB1A04"/>
    <w:rsid w:val="00FB1CBA"/>
    <w:rsid w:val="00FB27C6"/>
    <w:rsid w:val="00FB2841"/>
    <w:rsid w:val="00FB2CD4"/>
    <w:rsid w:val="00FB3263"/>
    <w:rsid w:val="00FB330B"/>
    <w:rsid w:val="00FB354A"/>
    <w:rsid w:val="00FB3E75"/>
    <w:rsid w:val="00FB4244"/>
    <w:rsid w:val="00FB4456"/>
    <w:rsid w:val="00FB4A15"/>
    <w:rsid w:val="00FB4C80"/>
    <w:rsid w:val="00FB524B"/>
    <w:rsid w:val="00FB52BA"/>
    <w:rsid w:val="00FB5433"/>
    <w:rsid w:val="00FB5559"/>
    <w:rsid w:val="00FB5C43"/>
    <w:rsid w:val="00FB6A6A"/>
    <w:rsid w:val="00FB6AF7"/>
    <w:rsid w:val="00FB6D3B"/>
    <w:rsid w:val="00FB6E33"/>
    <w:rsid w:val="00FB72D9"/>
    <w:rsid w:val="00FB7400"/>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116"/>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9E0"/>
    <w:rsid w:val="00FE4C7B"/>
    <w:rsid w:val="00FE513E"/>
    <w:rsid w:val="00FE58D1"/>
    <w:rsid w:val="00FE5CEC"/>
    <w:rsid w:val="00FE5E15"/>
    <w:rsid w:val="00FE6BDD"/>
    <w:rsid w:val="00FE7336"/>
    <w:rsid w:val="00FE787C"/>
    <w:rsid w:val="00FE79E5"/>
    <w:rsid w:val="00FE7EA1"/>
    <w:rsid w:val="00FE7F04"/>
    <w:rsid w:val="00FF0BB8"/>
    <w:rsid w:val="00FF0CE1"/>
    <w:rsid w:val="00FF10FD"/>
    <w:rsid w:val="00FF121F"/>
    <w:rsid w:val="00FF2D77"/>
    <w:rsid w:val="00FF3013"/>
    <w:rsid w:val="00FF303A"/>
    <w:rsid w:val="00FF3345"/>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9739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17714343">
      <w:bodyDiv w:val="1"/>
      <w:marLeft w:val="0"/>
      <w:marRight w:val="0"/>
      <w:marTop w:val="0"/>
      <w:marBottom w:val="0"/>
      <w:divBdr>
        <w:top w:val="none" w:sz="0" w:space="0" w:color="auto"/>
        <w:left w:val="none" w:sz="0" w:space="0" w:color="auto"/>
        <w:bottom w:val="none" w:sz="0" w:space="0" w:color="auto"/>
        <w:right w:val="none" w:sz="0" w:space="0" w:color="auto"/>
      </w:divBdr>
      <w:divsChild>
        <w:div w:id="1446194423">
          <w:marLeft w:val="0"/>
          <w:marRight w:val="0"/>
          <w:marTop w:val="0"/>
          <w:marBottom w:val="0"/>
          <w:divBdr>
            <w:top w:val="none" w:sz="0" w:space="0" w:color="auto"/>
            <w:left w:val="none" w:sz="0" w:space="0" w:color="auto"/>
            <w:bottom w:val="none" w:sz="0" w:space="0" w:color="auto"/>
            <w:right w:val="none" w:sz="0" w:space="0" w:color="auto"/>
          </w:divBdr>
          <w:divsChild>
            <w:div w:id="1396900122">
              <w:marLeft w:val="0"/>
              <w:marRight w:val="0"/>
              <w:marTop w:val="0"/>
              <w:marBottom w:val="0"/>
              <w:divBdr>
                <w:top w:val="none" w:sz="0" w:space="0" w:color="auto"/>
                <w:left w:val="none" w:sz="0" w:space="0" w:color="auto"/>
                <w:bottom w:val="none" w:sz="0" w:space="0" w:color="auto"/>
                <w:right w:val="none" w:sz="0" w:space="0" w:color="auto"/>
              </w:divBdr>
              <w:divsChild>
                <w:div w:id="146357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698189847">
      <w:bodyDiv w:val="1"/>
      <w:marLeft w:val="0"/>
      <w:marRight w:val="0"/>
      <w:marTop w:val="0"/>
      <w:marBottom w:val="0"/>
      <w:divBdr>
        <w:top w:val="none" w:sz="0" w:space="0" w:color="auto"/>
        <w:left w:val="none" w:sz="0" w:space="0" w:color="auto"/>
        <w:bottom w:val="none" w:sz="0" w:space="0" w:color="auto"/>
        <w:right w:val="none" w:sz="0" w:space="0" w:color="auto"/>
      </w:divBdr>
      <w:divsChild>
        <w:div w:id="799691217">
          <w:marLeft w:val="0"/>
          <w:marRight w:val="0"/>
          <w:marTop w:val="0"/>
          <w:marBottom w:val="0"/>
          <w:divBdr>
            <w:top w:val="none" w:sz="0" w:space="0" w:color="auto"/>
            <w:left w:val="none" w:sz="0" w:space="0" w:color="auto"/>
            <w:bottom w:val="none" w:sz="0" w:space="0" w:color="auto"/>
            <w:right w:val="none" w:sz="0" w:space="0" w:color="auto"/>
          </w:divBdr>
          <w:divsChild>
            <w:div w:id="31539776">
              <w:marLeft w:val="0"/>
              <w:marRight w:val="0"/>
              <w:marTop w:val="0"/>
              <w:marBottom w:val="0"/>
              <w:divBdr>
                <w:top w:val="none" w:sz="0" w:space="0" w:color="auto"/>
                <w:left w:val="none" w:sz="0" w:space="0" w:color="auto"/>
                <w:bottom w:val="none" w:sz="0" w:space="0" w:color="auto"/>
                <w:right w:val="none" w:sz="0" w:space="0" w:color="auto"/>
              </w:divBdr>
              <w:divsChild>
                <w:div w:id="17238864">
                  <w:marLeft w:val="0"/>
                  <w:marRight w:val="0"/>
                  <w:marTop w:val="0"/>
                  <w:marBottom w:val="0"/>
                  <w:divBdr>
                    <w:top w:val="none" w:sz="0" w:space="0" w:color="auto"/>
                    <w:left w:val="none" w:sz="0" w:space="0" w:color="auto"/>
                    <w:bottom w:val="none" w:sz="0" w:space="0" w:color="auto"/>
                    <w:right w:val="none" w:sz="0" w:space="0" w:color="auto"/>
                  </w:divBdr>
                  <w:divsChild>
                    <w:div w:id="99079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8</Pages>
  <Words>2940</Words>
  <Characters>16759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19660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2024-10-03T03:14:00Z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